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1200" w:after="0"/>
      </w:pPr>
    </w:p>
    <w:p>
      <w:pPr>
        <w:spacing w:before="0" w:after="80"/>
        <w:jc w:val="center"/>
      </w:pPr>
      <w:r>
        <w:rPr>
          <w:rFonts w:ascii="Arial" w:cs="Arial" w:eastAsia="Arial" w:hAnsi="Arial"/>
          <w:b/>
          <w:bCs/>
          <w:caps/>
          <w:color w:val="AEB6BF"/>
          <w:sz w:val="28"/>
          <w:szCs w:val="28"/>
        </w:rPr>
        <w:t xml:space="preserve">RAPPORT D’AMÉLIORATION</w:t>
      </w:r>
    </w:p>
    <w:p>
      <w:pPr>
        <w:spacing w:before="0" w:after="200"/>
        <w:jc w:val="center"/>
      </w:pPr>
      <w:r>
        <w:rPr>
          <w:rFonts w:ascii="Arial" w:cs="Arial" w:eastAsia="Arial" w:hAnsi="Arial"/>
          <w:b/>
          <w:bCs/>
          <w:color w:val="1A56A0"/>
          <w:sz w:val="64"/>
          <w:szCs w:val="64"/>
        </w:rPr>
        <w:t xml:space="preserve">Shaarli Image Hub</w:t>
      </w:r>
    </w:p>
    <w:p>
      <w:pPr>
        <w:pBdr>
          <w:bottom w:val="single" w:color="E67E22" w:sz="6" w:space="1"/>
        </w:pBdr>
        <w:spacing w:before="0" w:after="300"/>
        <w:jc w:val="center"/>
      </w:pPr>
      <w:r>
        <w:rPr>
          <w:rFonts w:ascii="Arial" w:cs="Arial" w:eastAsia="Arial" w:hAnsi="Arial"/>
          <w:i/>
          <w:iCs/>
          <w:color w:val="2C3E50"/>
          <w:sz w:val="28"/>
          <w:szCs w:val="28"/>
        </w:rPr>
        <w:t xml:space="preserve">Architecture d’un hub centralisé multi-clients</w:t>
      </w:r>
    </w:p>
    <w:p>
      <w:pPr>
        <w:spacing w:before="300" w:after="0"/>
      </w:pPr>
    </w:p>
    <w:tbl>
      <w:tblPr>
        <w:tblW w:type="dxa" w:w="7000"/>
        <w:tblBorders>
          <w:top w:val="single" w:color="auto" w:sz="4"/>
          <w:left w:val="single" w:color="auto" w:sz="4"/>
          <w:bottom w:val="single" w:color="auto" w:sz="4"/>
          <w:right w:val="single" w:color="auto" w:sz="4"/>
          <w:insideH w:val="single" w:color="auto" w:sz="4"/>
          <w:insideV w:val="single" w:color="auto" w:sz="4"/>
        </w:tblBorders>
      </w:tblPr>
      <w:tblGrid>
        <w:gridCol w:w="2500"/>
        <w:gridCol w:w="4500"/>
      </w:tblGrid>
      <w:tr>
        <w:tc>
          <w:tcPr>
            <w:tcW w:type="dxa" w:w="2500"/>
            <w:tcBorders>
              <w:top w:val="single" w:color="D5D8DC" w:sz="4"/>
              <w:left w:val="single" w:color="D5D8DC" w:sz="4"/>
              <w:bottom w:val="single" w:color="D5D8DC" w:sz="4"/>
              <w:right w:val="single" w:color="D5D8DC" w:sz="4"/>
            </w:tcBorders>
            <w:shd w:fill="F4F6F7" w:val="clear"/>
            <w:tcMar>
              <w:top w:type="dxa" w:w="100"/>
              <w:left w:type="dxa" w:w="140"/>
              <w:bottom w:type="dxa" w:w="100"/>
              <w:right w:type="dxa" w:w="140"/>
            </w:tcMar>
          </w:tcPr>
          <w:p>
            <w:r>
              <w:rPr>
                <w:rFonts w:ascii="Arial" w:cs="Arial" w:eastAsia="Arial" w:hAnsi="Arial"/>
                <w:b/>
                <w:bCs/>
                <w:color w:val="2C3E50"/>
                <w:sz w:val="20"/>
                <w:szCs w:val="20"/>
              </w:rPr>
              <w:t xml:space="preserve">Version</w:t>
            </w:r>
          </w:p>
        </w:tc>
        <w:tc>
          <w:tcPr>
            <w:tcW w:type="dxa" w:w="4500"/>
            <w:tcBorders>
              <w:top w:val="single" w:color="D5D8DC" w:sz="4"/>
              <w:left w:val="single" w:color="D5D8DC" w:sz="4"/>
              <w:bottom w:val="single" w:color="D5D8DC" w:sz="4"/>
              <w:right w:val="single" w:color="D5D8DC" w:sz="4"/>
            </w:tcBorders>
            <w:tcMar>
              <w:top w:type="dxa" w:w="100"/>
              <w:left w:type="dxa" w:w="140"/>
              <w:bottom w:type="dxa" w:w="100"/>
              <w:right w:type="dxa" w:w="140"/>
            </w:tcMar>
          </w:tcPr>
          <w:p>
            <w:r>
              <w:rPr>
                <w:rFonts w:ascii="Arial" w:cs="Arial" w:eastAsia="Arial" w:hAnsi="Arial"/>
                <w:sz w:val="20"/>
                <w:szCs w:val="20"/>
              </w:rPr>
              <w:t xml:space="preserve">1.0.0</w:t>
            </w:r>
          </w:p>
        </w:tc>
      </w:tr>
      <w:tr>
        <w:tc>
          <w:tcPr>
            <w:tcW w:type="dxa" w:w="2500"/>
            <w:tcBorders>
              <w:top w:val="single" w:color="D5D8DC" w:sz="4"/>
              <w:left w:val="single" w:color="D5D8DC" w:sz="4"/>
              <w:bottom w:val="single" w:color="D5D8DC" w:sz="4"/>
              <w:right w:val="single" w:color="D5D8DC" w:sz="4"/>
            </w:tcBorders>
            <w:shd w:fill="F4F6F7" w:val="clear"/>
            <w:tcMar>
              <w:top w:type="dxa" w:w="100"/>
              <w:left w:type="dxa" w:w="140"/>
              <w:bottom w:type="dxa" w:w="100"/>
              <w:right w:type="dxa" w:w="140"/>
            </w:tcMar>
          </w:tcPr>
          <w:p>
            <w:r>
              <w:rPr>
                <w:rFonts w:ascii="Arial" w:cs="Arial" w:eastAsia="Arial" w:hAnsi="Arial"/>
                <w:b/>
                <w:bCs/>
                <w:color w:val="2C3E50"/>
                <w:sz w:val="20"/>
                <w:szCs w:val="20"/>
              </w:rPr>
              <w:t xml:space="preserve">Date</w:t>
            </w:r>
          </w:p>
        </w:tc>
        <w:tc>
          <w:tcPr>
            <w:tcW w:type="dxa" w:w="4500"/>
            <w:tcBorders>
              <w:top w:val="single" w:color="D5D8DC" w:sz="4"/>
              <w:left w:val="single" w:color="D5D8DC" w:sz="4"/>
              <w:bottom w:val="single" w:color="D5D8DC" w:sz="4"/>
              <w:right w:val="single" w:color="D5D8DC" w:sz="4"/>
            </w:tcBorders>
            <w:tcMar>
              <w:top w:type="dxa" w:w="100"/>
              <w:left w:type="dxa" w:w="140"/>
              <w:bottom w:type="dxa" w:w="100"/>
              <w:right w:type="dxa" w:w="140"/>
            </w:tcMar>
          </w:tcPr>
          <w:p>
            <w:r>
              <w:rPr>
                <w:rFonts w:ascii="Arial" w:cs="Arial" w:eastAsia="Arial" w:hAnsi="Arial"/>
                <w:sz w:val="20"/>
                <w:szCs w:val="20"/>
              </w:rPr>
              <w:t xml:space="preserve">Février 2026</w:t>
            </w:r>
          </w:p>
        </w:tc>
      </w:tr>
      <w:tr>
        <w:tc>
          <w:tcPr>
            <w:tcW w:type="dxa" w:w="2500"/>
            <w:tcBorders>
              <w:top w:val="single" w:color="D5D8DC" w:sz="4"/>
              <w:left w:val="single" w:color="D5D8DC" w:sz="4"/>
              <w:bottom w:val="single" w:color="D5D8DC" w:sz="4"/>
              <w:right w:val="single" w:color="D5D8DC" w:sz="4"/>
            </w:tcBorders>
            <w:shd w:fill="F4F6F7" w:val="clear"/>
            <w:tcMar>
              <w:top w:type="dxa" w:w="100"/>
              <w:left w:type="dxa" w:w="140"/>
              <w:bottom w:type="dxa" w:w="100"/>
              <w:right w:type="dxa" w:w="140"/>
            </w:tcMar>
          </w:tcPr>
          <w:p>
            <w:r>
              <w:rPr>
                <w:rFonts w:ascii="Arial" w:cs="Arial" w:eastAsia="Arial" w:hAnsi="Arial"/>
                <w:b/>
                <w:bCs/>
                <w:color w:val="2C3E50"/>
                <w:sz w:val="20"/>
                <w:szCs w:val="20"/>
              </w:rPr>
              <w:t xml:space="preserve">Statut</w:t>
            </w:r>
          </w:p>
        </w:tc>
        <w:tc>
          <w:tcPr>
            <w:tcW w:type="dxa" w:w="4500"/>
            <w:tcBorders>
              <w:top w:val="single" w:color="D5D8DC" w:sz="4"/>
              <w:left w:val="single" w:color="D5D8DC" w:sz="4"/>
              <w:bottom w:val="single" w:color="D5D8DC" w:sz="4"/>
              <w:right w:val="single" w:color="D5D8DC" w:sz="4"/>
            </w:tcBorders>
            <w:tcMar>
              <w:top w:type="dxa" w:w="100"/>
              <w:left w:type="dxa" w:w="140"/>
              <w:bottom w:type="dxa" w:w="100"/>
              <w:right w:type="dxa" w:w="140"/>
            </w:tcMar>
          </w:tcPr>
          <w:p>
            <w:r>
              <w:rPr>
                <w:rFonts w:ascii="Arial" w:cs="Arial" w:eastAsia="Arial" w:hAnsi="Arial"/>
                <w:sz w:val="20"/>
                <w:szCs w:val="20"/>
              </w:rPr>
              <w:t xml:space="preserve">Proposition — v1 Initiale</w:t>
            </w:r>
          </w:p>
        </w:tc>
      </w:tr>
      <w:tr>
        <w:tc>
          <w:tcPr>
            <w:tcW w:type="dxa" w:w="2500"/>
            <w:tcBorders>
              <w:top w:val="single" w:color="D5D8DC" w:sz="4"/>
              <w:left w:val="single" w:color="D5D8DC" w:sz="4"/>
              <w:bottom w:val="single" w:color="D5D8DC" w:sz="4"/>
              <w:right w:val="single" w:color="D5D8DC" w:sz="4"/>
            </w:tcBorders>
            <w:shd w:fill="F4F6F7" w:val="clear"/>
            <w:tcMar>
              <w:top w:type="dxa" w:w="100"/>
              <w:left w:type="dxa" w:w="140"/>
              <w:bottom w:type="dxa" w:w="100"/>
              <w:right w:type="dxa" w:w="140"/>
            </w:tcMar>
          </w:tcPr>
          <w:p>
            <w:r>
              <w:rPr>
                <w:rFonts w:ascii="Arial" w:cs="Arial" w:eastAsia="Arial" w:hAnsi="Arial"/>
                <w:b/>
                <w:bCs/>
                <w:color w:val="2C3E50"/>
                <w:sz w:val="20"/>
                <w:szCs w:val="20"/>
              </w:rPr>
              <w:t xml:space="preserve">Contexte</w:t>
            </w:r>
          </w:p>
        </w:tc>
        <w:tc>
          <w:tcPr>
            <w:tcW w:type="dxa" w:w="4500"/>
            <w:tcBorders>
              <w:top w:val="single" w:color="D5D8DC" w:sz="4"/>
              <w:left w:val="single" w:color="D5D8DC" w:sz="4"/>
              <w:bottom w:val="single" w:color="D5D8DC" w:sz="4"/>
              <w:right w:val="single" w:color="D5D8DC" w:sz="4"/>
            </w:tcBorders>
            <w:tcMar>
              <w:top w:type="dxa" w:w="100"/>
              <w:left w:type="dxa" w:w="140"/>
              <w:bottom w:type="dxa" w:w="100"/>
              <w:right w:type="dxa" w:w="140"/>
            </w:tcMar>
          </w:tcPr>
          <w:p>
            <w:r>
              <w:rPr>
                <w:rFonts w:ascii="Arial" w:cs="Arial" w:eastAsia="Arial" w:hAnsi="Arial"/>
                <w:sz w:val="20"/>
                <w:szCs w:val="20"/>
              </w:rPr>
              <w:t xml:space="preserve">Backend FastAPI — Hub image multi-clients</w:t>
            </w:r>
          </w:p>
        </w:tc>
      </w:tr>
    </w:tbl>
    <w:p>
      <w:r>
        <w:br w:type="page"/>
      </w:r>
    </w:p>
    <w:p>
      <w:pPr>
        <w:pStyle w:val="Heading1"/>
      </w:pPr>
      <w:r>
        <w:rPr>
          <w:rFonts w:ascii="Arial" w:cs="Arial" w:eastAsia="Arial" w:hAnsi="Arial"/>
          <w:b/>
          <w:bCs/>
          <w:color w:val="1A56A0"/>
          <w:sz w:val="36"/>
          <w:szCs w:val="36"/>
        </w:rPr>
        <w:t xml:space="preserve">Table des matières</w:t>
      </w:r>
    </w:p>
    <w:p>
      <w:pPr>
        <w:pBdr>
          <w:bottom w:val="single" w:color="1A56A0" w:sz="8" w:space="1"/>
        </w:pBdr>
        <w:spacing w:after="200"/>
      </w:pPr>
    </w:p>
    <w:sdt>
      <w:sdtPr>
        <w:alias w:val="Table des matières"/>
      </w:sdtPr>
      <w:sdtContent>
        <w:p>
          <w:r>
            <w:fldChar w:fldCharType="begin" w:dirty="true"/>
            <w:instrText xml:space="preserve">TOC \h \o "1-3"</w:instrText>
            <w:fldChar w:fldCharType="separate"/>
          </w:r>
        </w:p>
        <w:p>
          <w:r>
            <w:fldChar w:fldCharType="end"/>
          </w:r>
        </w:p>
      </w:sdtContent>
    </w:sdt>
    <w:p>
      <w:r>
        <w:br w:type="page"/>
      </w:r>
    </w:p>
    <w:p>
      <w:pPr>
        <w:pStyle w:val="Heading1"/>
      </w:pPr>
      <w:r>
        <w:rPr>
          <w:rFonts w:ascii="Arial" w:cs="Arial" w:eastAsia="Arial" w:hAnsi="Arial"/>
          <w:b/>
          <w:bCs/>
          <w:color w:val="1A56A0"/>
          <w:sz w:val="36"/>
          <w:szCs w:val="36"/>
        </w:rPr>
        <w:t xml:space="preserve">1. Résumé exécutif</w:t>
      </w:r>
    </w:p>
    <w:p>
      <w:pPr>
        <w:pBdr>
          <w:bottom w:val="single" w:color="1A56A0" w:sz="8" w:space="1"/>
        </w:pBdr>
        <w:spacing w:after="200"/>
      </w:pPr>
    </w:p>
    <w:p>
      <w:pPr>
        <w:spacing w:after="160" w:before="80"/>
      </w:pPr>
      <w:r>
        <w:rPr>
          <w:rFonts w:ascii="Arial" w:cs="Arial" w:eastAsia="Arial" w:hAnsi="Arial"/>
          <w:color w:val="2C3E50"/>
          <w:sz w:val="22"/>
          <w:szCs w:val="22"/>
        </w:rPr>
        <w:t xml:space="preserve">Le backend Shaarli Image Hub a été conçu initialement comme un complément à l’interface Shaarli pour gérer les images, l’OCR et les analyses AI. L’objectif a évolué : ce backend doit devenir un hub centralisé capable de servir plusieurs applications clientes simultanément.</w:t>
      </w:r>
    </w:p>
    <w:p>
      <w:pPr>
        <w:spacing w:after="160" w:before="80"/>
      </w:pPr>
      <w:r>
        <w:rPr>
          <w:rFonts w:ascii="Arial" w:cs="Arial" w:eastAsia="Arial" w:hAnsi="Arial"/>
          <w:color w:val="2C3E50"/>
          <w:sz w:val="22"/>
          <w:szCs w:val="22"/>
        </w:rPr>
        <w:t xml:space="preserve">Ce rapport identifie 8 axes d’amélioration couvrant la sécurité, la scalabilité, la qualité du code et l’expérience développeur. Chaque axe est accompagné de recommandations concrètes, d’exemples de code et d’une estimation d’effort.</w:t>
      </w:r>
    </w:p>
    <w:p>
      <w:pPr>
        <w:spacing w:before="20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00"/>
        <w:gridCol w:w="8826"/>
      </w:tblGrid>
      <w:tr>
        <w:tc>
          <w:tcPr>
            <w:tcW w:type="dxa" w:w="200"/>
            <w:tcBorders>
              <w:top w:val="none" w:color="FFFFFF" w:sz="0"/>
              <w:left w:val="single" w:color="1A56A0" w:sz="16"/>
              <w:bottom w:val="none" w:color="FFFFFF" w:sz="0"/>
              <w:right w:val="none" w:color="FFFFFF" w:sz="0"/>
            </w:tcBorders>
            <w:shd w:fill="EBF5FB" w:val="clear"/>
            <w:tcMar>
              <w:top w:type="dxa" w:w="100"/>
              <w:left w:type="dxa" w:w="120"/>
              <w:bottom w:type="dxa" w:w="100"/>
              <w:right w:type="dxa" w:w="0"/>
            </w:tcMar>
          </w:tcPr>
          <w:p/>
        </w:tc>
        <w:tc>
          <w:tcPr>
            <w:tcW w:type="dxa" w:w="8826"/>
            <w:tcBorders>
              <w:top w:val="none" w:color="FFFFFF" w:sz="0"/>
              <w:left w:val="none" w:color="FFFFFF" w:sz="0"/>
              <w:bottom w:val="none" w:color="FFFFFF" w:sz="0"/>
              <w:right w:val="none" w:color="FFFFFF" w:sz="0"/>
            </w:tcBorders>
            <w:shd w:fill="EBF5FB" w:val="clear"/>
            <w:tcMar>
              <w:top w:type="dxa" w:w="120"/>
              <w:left w:type="dxa" w:w="160"/>
              <w:bottom w:type="dxa" w:w="120"/>
              <w:right w:type="dxa" w:w="160"/>
            </w:tcMar>
          </w:tcPr>
          <w:p>
            <w:pPr>
              <w:spacing w:after="60"/>
            </w:pPr>
            <w:r>
              <w:rPr>
                <w:rFonts w:ascii="Arial" w:cs="Arial" w:eastAsia="Arial" w:hAnsi="Arial"/>
                <w:color w:val="2C3E50"/>
                <w:sz w:val="20"/>
                <w:szCs w:val="20"/>
              </w:rPr>
              <w:t xml:space="preserve">Clients identifiés : Interface Shaarli (client 1), futures applications tierces</w:t>
            </w:r>
          </w:p>
          <w:p>
            <w:pPr>
              <w:spacing w:after="60"/>
            </w:pPr>
            <w:r>
              <w:rPr>
                <w:rFonts w:ascii="Arial" w:cs="Arial" w:eastAsia="Arial" w:hAnsi="Arial"/>
                <w:color w:val="2C3E50"/>
                <w:sz w:val="20"/>
                <w:szCs w:val="20"/>
              </w:rPr>
              <w:t xml:space="preserve">Technologies actuelles : FastAPI, SQLAlchemy async, Pillow, Tesseract, Anthropic Claude</w:t>
            </w:r>
          </w:p>
          <w:p>
            <w:pPr>
              <w:spacing w:after="60"/>
            </w:pPr>
            <w:r>
              <w:rPr>
                <w:rFonts w:ascii="Arial" w:cs="Arial" w:eastAsia="Arial" w:hAnsi="Arial"/>
                <w:color w:val="2C3E50"/>
                <w:sz w:val="20"/>
                <w:szCs w:val="20"/>
              </w:rPr>
              <w:t xml:space="preserve">Points critiques immédiats : absence d’authentification, pas de gestion multi-clients, pipeline non persistent</w:t>
            </w:r>
          </w:p>
          <w:p>
            <w:pPr>
              <w:spacing w:after="60"/>
            </w:pPr>
            <w:r>
              <w:rPr>
                <w:rFonts w:ascii="Arial" w:cs="Arial" w:eastAsia="Arial" w:hAnsi="Arial"/>
                <w:color w:val="2C3E50"/>
                <w:sz w:val="20"/>
                <w:szCs w:val="20"/>
              </w:rPr>
              <w:t xml:space="preserve">Horizon de développement proposé : 3 phases sur 3 mois</w:t>
            </w:r>
          </w:p>
        </w:tc>
      </w:tr>
    </w:tbl>
    <w:p>
      <w:pPr>
        <w:spacing w:before="300" w:after="0"/>
      </w:pPr>
    </w:p>
    <w:p>
      <w:pPr>
        <w:pStyle w:val="Heading2"/>
      </w:pPr>
      <w:r>
        <w:rPr>
          <w:rFonts w:ascii="Arial" w:cs="Arial" w:eastAsia="Arial" w:hAnsi="Arial"/>
          <w:b/>
          <w:bCs/>
          <w:color w:val="1A56A0"/>
          <w:sz w:val="28"/>
          <w:szCs w:val="28"/>
        </w:rPr>
        <w:t xml:space="preserve">1.1 Synthèse des axes d’amélioration</w:t>
      </w:r>
    </w:p>
    <w:p>
      <w:pPr>
        <w:spacing w:before="10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200"/>
        <w:gridCol w:w="3426"/>
        <w:gridCol w:w="1200"/>
        <w:gridCol w:w="1200"/>
      </w:tblGrid>
      <w:tr>
        <w:trPr>
          <w:tblHeader/>
        </w:trPr>
        <w:tc>
          <w:tcPr>
            <w:tcW w:type="dxa" w:w="3200"/>
            <w:tcBorders>
              <w:top w:val="single" w:color="3A7DBF" w:sz="4"/>
              <w:left w:val="single" w:color="3A7DBF" w:sz="4"/>
              <w:bottom w:val="single" w:color="3A7DBF" w:sz="4"/>
              <w:right w:val="single" w:color="3A7DBF" w:sz="4"/>
            </w:tcBorders>
            <w:shd w:fill="1A56A0" w:val="clear"/>
            <w:tcMar>
              <w:top w:type="dxa" w:w="100"/>
              <w:left w:type="dxa" w:w="120"/>
              <w:bottom w:type="dxa" w:w="100"/>
              <w:right w:type="dxa" w:w="120"/>
            </w:tcMar>
            <w:vAlign w:val="center"/>
          </w:tcPr>
          <w:p>
            <w:pPr>
              <w:jc w:val="center"/>
            </w:pPr>
            <w:r>
              <w:rPr>
                <w:rFonts w:ascii="Arial" w:cs="Arial" w:eastAsia="Arial" w:hAnsi="Arial"/>
                <w:b/>
                <w:bCs/>
                <w:color w:val="FFFFFF"/>
                <w:sz w:val="20"/>
                <w:szCs w:val="20"/>
              </w:rPr>
              <w:t xml:space="preserve">Axe d’amélioration</w:t>
            </w:r>
          </w:p>
        </w:tc>
        <w:tc>
          <w:tcPr>
            <w:tcW w:type="dxa" w:w="3426"/>
            <w:tcBorders>
              <w:top w:val="single" w:color="3A7DBF" w:sz="4"/>
              <w:left w:val="single" w:color="3A7DBF" w:sz="4"/>
              <w:bottom w:val="single" w:color="3A7DBF" w:sz="4"/>
              <w:right w:val="single" w:color="3A7DBF" w:sz="4"/>
            </w:tcBorders>
            <w:shd w:fill="1A56A0" w:val="clear"/>
            <w:tcMar>
              <w:top w:type="dxa" w:w="100"/>
              <w:left w:type="dxa" w:w="120"/>
              <w:bottom w:type="dxa" w:w="100"/>
              <w:right w:type="dxa" w:w="120"/>
            </w:tcMar>
            <w:vAlign w:val="center"/>
          </w:tcPr>
          <w:p>
            <w:pPr>
              <w:jc w:val="center"/>
            </w:pPr>
            <w:r>
              <w:rPr>
                <w:rFonts w:ascii="Arial" w:cs="Arial" w:eastAsia="Arial" w:hAnsi="Arial"/>
                <w:b/>
                <w:bCs/>
                <w:color w:val="FFFFFF"/>
                <w:sz w:val="20"/>
                <w:szCs w:val="20"/>
              </w:rPr>
              <w:t xml:space="preserve">Impact principal</w:t>
            </w:r>
          </w:p>
        </w:tc>
        <w:tc>
          <w:tcPr>
            <w:tcW w:type="dxa" w:w="1200"/>
            <w:tcBorders>
              <w:top w:val="single" w:color="3A7DBF" w:sz="4"/>
              <w:left w:val="single" w:color="3A7DBF" w:sz="4"/>
              <w:bottom w:val="single" w:color="3A7DBF" w:sz="4"/>
              <w:right w:val="single" w:color="3A7DBF" w:sz="4"/>
            </w:tcBorders>
            <w:shd w:fill="1A56A0" w:val="clear"/>
            <w:tcMar>
              <w:top w:type="dxa" w:w="100"/>
              <w:left w:type="dxa" w:w="120"/>
              <w:bottom w:type="dxa" w:w="100"/>
              <w:right w:type="dxa" w:w="120"/>
            </w:tcMar>
            <w:vAlign w:val="center"/>
          </w:tcPr>
          <w:p>
            <w:pPr>
              <w:jc w:val="center"/>
            </w:pPr>
            <w:r>
              <w:rPr>
                <w:rFonts w:ascii="Arial" w:cs="Arial" w:eastAsia="Arial" w:hAnsi="Arial"/>
                <w:b/>
                <w:bCs/>
                <w:color w:val="FFFFFF"/>
                <w:sz w:val="20"/>
                <w:szCs w:val="20"/>
              </w:rPr>
              <w:t xml:space="preserve">Priorité</w:t>
            </w:r>
          </w:p>
        </w:tc>
        <w:tc>
          <w:tcPr>
            <w:tcW w:type="dxa" w:w="1200"/>
            <w:tcBorders>
              <w:top w:val="single" w:color="3A7DBF" w:sz="4"/>
              <w:left w:val="single" w:color="3A7DBF" w:sz="4"/>
              <w:bottom w:val="single" w:color="3A7DBF" w:sz="4"/>
              <w:right w:val="single" w:color="3A7DBF" w:sz="4"/>
            </w:tcBorders>
            <w:shd w:fill="1A56A0" w:val="clear"/>
            <w:tcMar>
              <w:top w:type="dxa" w:w="100"/>
              <w:left w:type="dxa" w:w="120"/>
              <w:bottom w:type="dxa" w:w="100"/>
              <w:right w:type="dxa" w:w="120"/>
            </w:tcMar>
            <w:vAlign w:val="center"/>
          </w:tcPr>
          <w:p>
            <w:pPr>
              <w:jc w:val="center"/>
            </w:pPr>
            <w:r>
              <w:rPr>
                <w:rFonts w:ascii="Arial" w:cs="Arial" w:eastAsia="Arial" w:hAnsi="Arial"/>
                <w:b/>
                <w:bCs/>
                <w:color w:val="FFFFFF"/>
                <w:sz w:val="20"/>
                <w:szCs w:val="20"/>
              </w:rPr>
              <w:t xml:space="preserve">Effort</w:t>
            </w:r>
          </w:p>
        </w:tc>
      </w:tr>
      <w:tr>
        <w:tc>
          <w:tcPr>
            <w:tcW w:type="dxa" w:w="32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Authentification &amp; Autorisation</w:t>
            </w:r>
          </w:p>
        </w:tc>
        <w:tc>
          <w:tcPr>
            <w:tcW w:type="dxa" w:w="3426"/>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Sécurité multi-clients</w:t>
            </w:r>
          </w:p>
        </w:tc>
        <w:tc>
          <w:tcPr>
            <w:tcW w:type="dxa" w:w="1200"/>
            <w:tcBorders>
              <w:top w:val="single" w:color="D5D8DC" w:sz="4"/>
              <w:left w:val="single" w:color="D5D8DC" w:sz="4"/>
              <w:bottom w:val="single" w:color="D5D8DC" w:sz="4"/>
              <w:right w:val="single" w:color="D5D8DC" w:sz="4"/>
            </w:tcBorders>
            <w:shd w:fill="FADBD8" w:val="clear"/>
            <w:tcMar>
              <w:top w:type="dxa" w:w="80"/>
              <w:left w:type="dxa" w:w="120"/>
              <w:bottom w:type="dxa" w:w="80"/>
              <w:right w:type="dxa" w:w="120"/>
            </w:tcMar>
            <w:vAlign w:val="center"/>
          </w:tcPr>
          <w:p>
            <w:pPr>
              <w:jc w:val="center"/>
            </w:pPr>
            <w:r>
              <w:rPr>
                <w:rFonts w:ascii="Arial" w:cs="Arial" w:eastAsia="Arial" w:hAnsi="Arial"/>
                <w:b/>
                <w:bCs/>
                <w:color w:val="C0392B"/>
                <w:sz w:val="18"/>
                <w:szCs w:val="18"/>
              </w:rPr>
              <w:t xml:space="preserve">Critique</w:t>
            </w:r>
          </w:p>
        </w:tc>
        <w:tc>
          <w:tcPr>
            <w:tcW w:type="dxa" w:w="12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center"/>
            </w:pPr>
            <w:r>
              <w:rPr>
                <w:rFonts w:ascii="Arial" w:cs="Arial" w:eastAsia="Arial" w:hAnsi="Arial"/>
                <w:b w:val="false"/>
                <w:bCs w:val="false"/>
                <w:i w:val="false"/>
                <w:iCs w:val="false"/>
                <w:color w:val="2C3E50"/>
                <w:sz w:val="19"/>
                <w:szCs w:val="19"/>
              </w:rPr>
              <w:t xml:space="preserve">3–5 j</w:t>
            </w:r>
          </w:p>
        </w:tc>
      </w:tr>
      <w:tr>
        <w:tc>
          <w:tcPr>
            <w:tcW w:type="dxa" w:w="32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Gestion multi-clients (tenants)</w:t>
            </w:r>
          </w:p>
        </w:tc>
        <w:tc>
          <w:tcPr>
            <w:tcW w:type="dxa" w:w="3426"/>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Isolation des données</w:t>
            </w:r>
          </w:p>
        </w:tc>
        <w:tc>
          <w:tcPr>
            <w:tcW w:type="dxa" w:w="1200"/>
            <w:tcBorders>
              <w:top w:val="single" w:color="D5D8DC" w:sz="4"/>
              <w:left w:val="single" w:color="D5D8DC" w:sz="4"/>
              <w:bottom w:val="single" w:color="D5D8DC" w:sz="4"/>
              <w:right w:val="single" w:color="D5D8DC" w:sz="4"/>
            </w:tcBorders>
            <w:shd w:fill="FADBD8" w:val="clear"/>
            <w:tcMar>
              <w:top w:type="dxa" w:w="80"/>
              <w:left w:type="dxa" w:w="120"/>
              <w:bottom w:type="dxa" w:w="80"/>
              <w:right w:type="dxa" w:w="120"/>
            </w:tcMar>
            <w:vAlign w:val="center"/>
          </w:tcPr>
          <w:p>
            <w:pPr>
              <w:jc w:val="center"/>
            </w:pPr>
            <w:r>
              <w:rPr>
                <w:rFonts w:ascii="Arial" w:cs="Arial" w:eastAsia="Arial" w:hAnsi="Arial"/>
                <w:b/>
                <w:bCs/>
                <w:color w:val="C0392B"/>
                <w:sz w:val="18"/>
                <w:szCs w:val="18"/>
              </w:rPr>
              <w:t xml:space="preserve">Critique</w:t>
            </w:r>
          </w:p>
        </w:tc>
        <w:tc>
          <w:tcPr>
            <w:tcW w:type="dxa" w:w="1200"/>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center"/>
            </w:pPr>
            <w:r>
              <w:rPr>
                <w:rFonts w:ascii="Arial" w:cs="Arial" w:eastAsia="Arial" w:hAnsi="Arial"/>
                <w:b w:val="false"/>
                <w:bCs w:val="false"/>
                <w:i w:val="false"/>
                <w:iCs w:val="false"/>
                <w:color w:val="2C3E50"/>
                <w:sz w:val="19"/>
                <w:szCs w:val="19"/>
              </w:rPr>
              <w:t xml:space="preserve">5–7 j</w:t>
            </w:r>
          </w:p>
        </w:tc>
      </w:tr>
      <w:tr>
        <w:tc>
          <w:tcPr>
            <w:tcW w:type="dxa" w:w="32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Pipeline asynchrone robuste</w:t>
            </w:r>
          </w:p>
        </w:tc>
        <w:tc>
          <w:tcPr>
            <w:tcW w:type="dxa" w:w="3426"/>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Fiabilité du traitement AI</w:t>
            </w:r>
          </w:p>
        </w:tc>
        <w:tc>
          <w:tcPr>
            <w:tcW w:type="dxa" w:w="1200"/>
            <w:tcBorders>
              <w:top w:val="single" w:color="D5D8DC" w:sz="4"/>
              <w:left w:val="single" w:color="D5D8DC" w:sz="4"/>
              <w:bottom w:val="single" w:color="D5D8DC" w:sz="4"/>
              <w:right w:val="single" w:color="D5D8DC" w:sz="4"/>
            </w:tcBorders>
            <w:shd w:fill="FDEBD0" w:val="clear"/>
            <w:tcMar>
              <w:top w:type="dxa" w:w="80"/>
              <w:left w:type="dxa" w:w="120"/>
              <w:bottom w:type="dxa" w:w="80"/>
              <w:right w:type="dxa" w:w="120"/>
            </w:tcMar>
            <w:vAlign w:val="center"/>
          </w:tcPr>
          <w:p>
            <w:pPr>
              <w:jc w:val="center"/>
            </w:pPr>
            <w:r>
              <w:rPr>
                <w:rFonts w:ascii="Arial" w:cs="Arial" w:eastAsia="Arial" w:hAnsi="Arial"/>
                <w:b/>
                <w:bCs/>
                <w:color w:val="E67E22"/>
                <w:sz w:val="18"/>
                <w:szCs w:val="18"/>
              </w:rPr>
              <w:t xml:space="preserve">Haute</w:t>
            </w:r>
          </w:p>
        </w:tc>
        <w:tc>
          <w:tcPr>
            <w:tcW w:type="dxa" w:w="12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center"/>
            </w:pPr>
            <w:r>
              <w:rPr>
                <w:rFonts w:ascii="Arial" w:cs="Arial" w:eastAsia="Arial" w:hAnsi="Arial"/>
                <w:b w:val="false"/>
                <w:bCs w:val="false"/>
                <w:i w:val="false"/>
                <w:iCs w:val="false"/>
                <w:color w:val="2C3E50"/>
                <w:sz w:val="19"/>
                <w:szCs w:val="19"/>
              </w:rPr>
              <w:t xml:space="preserve">4–5 j</w:t>
            </w:r>
          </w:p>
        </w:tc>
      </w:tr>
      <w:tr>
        <w:tc>
          <w:tcPr>
            <w:tcW w:type="dxa" w:w="32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Stockage &amp; CDN</w:t>
            </w:r>
          </w:p>
        </w:tc>
        <w:tc>
          <w:tcPr>
            <w:tcW w:type="dxa" w:w="3426"/>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Performance, scalabilité</w:t>
            </w:r>
          </w:p>
        </w:tc>
        <w:tc>
          <w:tcPr>
            <w:tcW w:type="dxa" w:w="1200"/>
            <w:tcBorders>
              <w:top w:val="single" w:color="D5D8DC" w:sz="4"/>
              <w:left w:val="single" w:color="D5D8DC" w:sz="4"/>
              <w:bottom w:val="single" w:color="D5D8DC" w:sz="4"/>
              <w:right w:val="single" w:color="D5D8DC" w:sz="4"/>
            </w:tcBorders>
            <w:shd w:fill="FDEBD0" w:val="clear"/>
            <w:tcMar>
              <w:top w:type="dxa" w:w="80"/>
              <w:left w:type="dxa" w:w="120"/>
              <w:bottom w:type="dxa" w:w="80"/>
              <w:right w:type="dxa" w:w="120"/>
            </w:tcMar>
            <w:vAlign w:val="center"/>
          </w:tcPr>
          <w:p>
            <w:pPr>
              <w:jc w:val="center"/>
            </w:pPr>
            <w:r>
              <w:rPr>
                <w:rFonts w:ascii="Arial" w:cs="Arial" w:eastAsia="Arial" w:hAnsi="Arial"/>
                <w:b/>
                <w:bCs/>
                <w:color w:val="E67E22"/>
                <w:sz w:val="18"/>
                <w:szCs w:val="18"/>
              </w:rPr>
              <w:t xml:space="preserve">Haute</w:t>
            </w:r>
          </w:p>
        </w:tc>
        <w:tc>
          <w:tcPr>
            <w:tcW w:type="dxa" w:w="1200"/>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center"/>
            </w:pPr>
            <w:r>
              <w:rPr>
                <w:rFonts w:ascii="Arial" w:cs="Arial" w:eastAsia="Arial" w:hAnsi="Arial"/>
                <w:b w:val="false"/>
                <w:bCs w:val="false"/>
                <w:i w:val="false"/>
                <w:iCs w:val="false"/>
                <w:color w:val="2C3E50"/>
                <w:sz w:val="19"/>
                <w:szCs w:val="19"/>
              </w:rPr>
              <w:t xml:space="preserve">3–4 j</w:t>
            </w:r>
          </w:p>
        </w:tc>
      </w:tr>
      <w:tr>
        <w:tc>
          <w:tcPr>
            <w:tcW w:type="dxa" w:w="32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WebSockets &amp; temps réel</w:t>
            </w:r>
          </w:p>
        </w:tc>
        <w:tc>
          <w:tcPr>
            <w:tcW w:type="dxa" w:w="3426"/>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Expérience client</w:t>
            </w:r>
          </w:p>
        </w:tc>
        <w:tc>
          <w:tcPr>
            <w:tcW w:type="dxa" w:w="1200"/>
            <w:tcBorders>
              <w:top w:val="single" w:color="D5D8DC" w:sz="4"/>
              <w:left w:val="single" w:color="D5D8DC" w:sz="4"/>
              <w:bottom w:val="single" w:color="D5D8DC" w:sz="4"/>
              <w:right w:val="single" w:color="D5D8DC" w:sz="4"/>
            </w:tcBorders>
            <w:shd w:fill="D5F5E3" w:val="clear"/>
            <w:tcMar>
              <w:top w:type="dxa" w:w="80"/>
              <w:left w:type="dxa" w:w="120"/>
              <w:bottom w:type="dxa" w:w="80"/>
              <w:right w:type="dxa" w:w="120"/>
            </w:tcMar>
            <w:vAlign w:val="center"/>
          </w:tcPr>
          <w:p>
            <w:pPr>
              <w:jc w:val="center"/>
            </w:pPr>
            <w:r>
              <w:rPr>
                <w:rFonts w:ascii="Arial" w:cs="Arial" w:eastAsia="Arial" w:hAnsi="Arial"/>
                <w:b/>
                <w:bCs/>
                <w:color w:val="1E8449"/>
                <w:sz w:val="18"/>
                <w:szCs w:val="18"/>
              </w:rPr>
              <w:t xml:space="preserve">Moyenne</w:t>
            </w:r>
          </w:p>
        </w:tc>
        <w:tc>
          <w:tcPr>
            <w:tcW w:type="dxa" w:w="12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center"/>
            </w:pPr>
            <w:r>
              <w:rPr>
                <w:rFonts w:ascii="Arial" w:cs="Arial" w:eastAsia="Arial" w:hAnsi="Arial"/>
                <w:b w:val="false"/>
                <w:bCs w:val="false"/>
                <w:i w:val="false"/>
                <w:iCs w:val="false"/>
                <w:color w:val="2C3E50"/>
                <w:sz w:val="19"/>
                <w:szCs w:val="19"/>
              </w:rPr>
              <w:t xml:space="preserve">2–3 j</w:t>
            </w:r>
          </w:p>
        </w:tc>
      </w:tr>
      <w:tr>
        <w:tc>
          <w:tcPr>
            <w:tcW w:type="dxa" w:w="32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Observabilité &amp; Monitoring</w:t>
            </w:r>
          </w:p>
        </w:tc>
        <w:tc>
          <w:tcPr>
            <w:tcW w:type="dxa" w:w="3426"/>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Production-ready</w:t>
            </w:r>
          </w:p>
        </w:tc>
        <w:tc>
          <w:tcPr>
            <w:tcW w:type="dxa" w:w="1200"/>
            <w:tcBorders>
              <w:top w:val="single" w:color="D5D8DC" w:sz="4"/>
              <w:left w:val="single" w:color="D5D8DC" w:sz="4"/>
              <w:bottom w:val="single" w:color="D5D8DC" w:sz="4"/>
              <w:right w:val="single" w:color="D5D8DC" w:sz="4"/>
            </w:tcBorders>
            <w:shd w:fill="D5F5E3" w:val="clear"/>
            <w:tcMar>
              <w:top w:type="dxa" w:w="80"/>
              <w:left w:type="dxa" w:w="120"/>
              <w:bottom w:type="dxa" w:w="80"/>
              <w:right w:type="dxa" w:w="120"/>
            </w:tcMar>
            <w:vAlign w:val="center"/>
          </w:tcPr>
          <w:p>
            <w:pPr>
              <w:jc w:val="center"/>
            </w:pPr>
            <w:r>
              <w:rPr>
                <w:rFonts w:ascii="Arial" w:cs="Arial" w:eastAsia="Arial" w:hAnsi="Arial"/>
                <w:b/>
                <w:bCs/>
                <w:color w:val="1E8449"/>
                <w:sz w:val="18"/>
                <w:szCs w:val="18"/>
              </w:rPr>
              <w:t xml:space="preserve">Moyenne</w:t>
            </w:r>
          </w:p>
        </w:tc>
        <w:tc>
          <w:tcPr>
            <w:tcW w:type="dxa" w:w="1200"/>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center"/>
            </w:pPr>
            <w:r>
              <w:rPr>
                <w:rFonts w:ascii="Arial" w:cs="Arial" w:eastAsia="Arial" w:hAnsi="Arial"/>
                <w:b w:val="false"/>
                <w:bCs w:val="false"/>
                <w:i w:val="false"/>
                <w:iCs w:val="false"/>
                <w:color w:val="2C3E50"/>
                <w:sz w:val="19"/>
                <w:szCs w:val="19"/>
              </w:rPr>
              <w:t xml:space="preserve">3–4 j</w:t>
            </w:r>
          </w:p>
        </w:tc>
      </w:tr>
      <w:tr>
        <w:tc>
          <w:tcPr>
            <w:tcW w:type="dxa" w:w="32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API versioning &amp; SDK clients</w:t>
            </w:r>
          </w:p>
        </w:tc>
        <w:tc>
          <w:tcPr>
            <w:tcW w:type="dxa" w:w="3426"/>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Contrat API stable</w:t>
            </w:r>
          </w:p>
        </w:tc>
        <w:tc>
          <w:tcPr>
            <w:tcW w:type="dxa" w:w="1200"/>
            <w:tcBorders>
              <w:top w:val="single" w:color="D5D8DC" w:sz="4"/>
              <w:left w:val="single" w:color="D5D8DC" w:sz="4"/>
              <w:bottom w:val="single" w:color="D5D8DC" w:sz="4"/>
              <w:right w:val="single" w:color="D5D8DC" w:sz="4"/>
            </w:tcBorders>
            <w:shd w:fill="D5F5E3" w:val="clear"/>
            <w:tcMar>
              <w:top w:type="dxa" w:w="80"/>
              <w:left w:type="dxa" w:w="120"/>
              <w:bottom w:type="dxa" w:w="80"/>
              <w:right w:type="dxa" w:w="120"/>
            </w:tcMar>
            <w:vAlign w:val="center"/>
          </w:tcPr>
          <w:p>
            <w:pPr>
              <w:jc w:val="center"/>
            </w:pPr>
            <w:r>
              <w:rPr>
                <w:rFonts w:ascii="Arial" w:cs="Arial" w:eastAsia="Arial" w:hAnsi="Arial"/>
                <w:b/>
                <w:bCs/>
                <w:color w:val="1E8449"/>
                <w:sz w:val="18"/>
                <w:szCs w:val="18"/>
              </w:rPr>
              <w:t xml:space="preserve">Moyenne</w:t>
            </w:r>
          </w:p>
        </w:tc>
        <w:tc>
          <w:tcPr>
            <w:tcW w:type="dxa" w:w="12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center"/>
            </w:pPr>
            <w:r>
              <w:rPr>
                <w:rFonts w:ascii="Arial" w:cs="Arial" w:eastAsia="Arial" w:hAnsi="Arial"/>
                <w:b w:val="false"/>
                <w:bCs w:val="false"/>
                <w:i w:val="false"/>
                <w:iCs w:val="false"/>
                <w:color w:val="2C3E50"/>
                <w:sz w:val="19"/>
                <w:szCs w:val="19"/>
              </w:rPr>
              <w:t xml:space="preserve">2–3 j</w:t>
            </w:r>
          </w:p>
        </w:tc>
      </w:tr>
      <w:tr>
        <w:tc>
          <w:tcPr>
            <w:tcW w:type="dxa" w:w="32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Tests &amp; CI/CD</w:t>
            </w:r>
          </w:p>
        </w:tc>
        <w:tc>
          <w:tcPr>
            <w:tcW w:type="dxa" w:w="3426"/>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Qualité et maintenabilité</w:t>
            </w:r>
          </w:p>
        </w:tc>
        <w:tc>
          <w:tcPr>
            <w:tcW w:type="dxa" w:w="1200"/>
            <w:tcBorders>
              <w:top w:val="single" w:color="D5D8DC" w:sz="4"/>
              <w:left w:val="single" w:color="D5D8DC" w:sz="4"/>
              <w:bottom w:val="single" w:color="D5D8DC" w:sz="4"/>
              <w:right w:val="single" w:color="D5D8DC" w:sz="4"/>
            </w:tcBorders>
            <w:shd w:fill="FDEBD0" w:val="clear"/>
            <w:tcMar>
              <w:top w:type="dxa" w:w="80"/>
              <w:left w:type="dxa" w:w="120"/>
              <w:bottom w:type="dxa" w:w="80"/>
              <w:right w:type="dxa" w:w="120"/>
            </w:tcMar>
            <w:vAlign w:val="center"/>
          </w:tcPr>
          <w:p>
            <w:pPr>
              <w:jc w:val="center"/>
            </w:pPr>
            <w:r>
              <w:rPr>
                <w:rFonts w:ascii="Arial" w:cs="Arial" w:eastAsia="Arial" w:hAnsi="Arial"/>
                <w:b/>
                <w:bCs/>
                <w:color w:val="E67E22"/>
                <w:sz w:val="18"/>
                <w:szCs w:val="18"/>
              </w:rPr>
              <w:t xml:space="preserve">Haute</w:t>
            </w:r>
          </w:p>
        </w:tc>
        <w:tc>
          <w:tcPr>
            <w:tcW w:type="dxa" w:w="1200"/>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center"/>
            </w:pPr>
            <w:r>
              <w:rPr>
                <w:rFonts w:ascii="Arial" w:cs="Arial" w:eastAsia="Arial" w:hAnsi="Arial"/>
                <w:b w:val="false"/>
                <w:bCs w:val="false"/>
                <w:i w:val="false"/>
                <w:iCs w:val="false"/>
                <w:color w:val="2C3E50"/>
                <w:sz w:val="19"/>
                <w:szCs w:val="19"/>
              </w:rPr>
              <w:t xml:space="preserve">4–5 j</w:t>
            </w:r>
          </w:p>
        </w:tc>
      </w:tr>
    </w:tbl>
    <w:p>
      <w:r>
        <w:br w:type="page"/>
      </w:r>
    </w:p>
    <w:p>
      <w:pPr>
        <w:pStyle w:val="Heading1"/>
      </w:pPr>
      <w:r>
        <w:rPr>
          <w:rFonts w:ascii="Arial" w:cs="Arial" w:eastAsia="Arial" w:hAnsi="Arial"/>
          <w:b/>
          <w:bCs/>
          <w:color w:val="1A56A0"/>
          <w:sz w:val="36"/>
          <w:szCs w:val="36"/>
        </w:rPr>
        <w:t xml:space="preserve">2. Axe 1 — Authentification et autorisation</w:t>
      </w:r>
    </w:p>
    <w:p>
      <w:pPr>
        <w:pBdr>
          <w:bottom w:val="single" w:color="1A56A0" w:sz="8" w:space="1"/>
        </w:pBdr>
        <w:spacing w:after="200"/>
      </w:pPr>
    </w:p>
    <w:p>
      <w:pPr>
        <w:pStyle w:val="Heading2"/>
      </w:pPr>
      <w:r>
        <w:rPr>
          <w:rFonts w:ascii="Arial" w:cs="Arial" w:eastAsia="Arial" w:hAnsi="Arial"/>
          <w:b/>
          <w:bCs/>
          <w:color w:val="1A56A0"/>
          <w:sz w:val="28"/>
          <w:szCs w:val="28"/>
        </w:rPr>
        <w:t xml:space="preserve">2.1 Problématique</w:t>
      </w:r>
    </w:p>
    <w:p>
      <w:pPr>
        <w:spacing w:after="160" w:before="80"/>
      </w:pPr>
      <w:r>
        <w:rPr>
          <w:rFonts w:ascii="Arial" w:cs="Arial" w:eastAsia="Arial" w:hAnsi="Arial"/>
          <w:color w:val="2C3E50"/>
          <w:sz w:val="22"/>
          <w:szCs w:val="22"/>
        </w:rPr>
        <w:t xml:space="preserve">Dans l’état actuel, le backend est entièrement public. N’importe quelle application ou personne ayant accès au réseau peut uploader, lire ou supprimer des images. Cela est incompatible avec un hub servant plusieurs clients distincts.</w:t>
      </w:r>
    </w:p>
    <w:p>
      <w:pPr>
        <w:spacing w:before="10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00"/>
        <w:gridCol w:w="8826"/>
      </w:tblGrid>
      <w:tr>
        <w:tc>
          <w:tcPr>
            <w:tcW w:type="dxa" w:w="200"/>
            <w:tcBorders>
              <w:top w:val="none" w:color="FFFFFF" w:sz="0"/>
              <w:left w:val="single" w:color="C0392B" w:sz="16"/>
              <w:bottom w:val="none" w:color="FFFFFF" w:sz="0"/>
              <w:right w:val="none" w:color="FFFFFF" w:sz="0"/>
            </w:tcBorders>
            <w:shd w:fill="FADBD8" w:val="clear"/>
            <w:tcMar>
              <w:top w:type="dxa" w:w="100"/>
              <w:left w:type="dxa" w:w="120"/>
              <w:bottom w:type="dxa" w:w="100"/>
              <w:right w:type="dxa" w:w="0"/>
            </w:tcMar>
          </w:tcPr>
          <w:p/>
        </w:tc>
        <w:tc>
          <w:tcPr>
            <w:tcW w:type="dxa" w:w="8826"/>
            <w:tcBorders>
              <w:top w:val="none" w:color="FFFFFF" w:sz="0"/>
              <w:left w:val="none" w:color="FFFFFF" w:sz="0"/>
              <w:bottom w:val="none" w:color="FFFFFF" w:sz="0"/>
              <w:right w:val="none" w:color="FFFFFF" w:sz="0"/>
            </w:tcBorders>
            <w:shd w:fill="FADBD8" w:val="clear"/>
            <w:tcMar>
              <w:top w:type="dxa" w:w="120"/>
              <w:left w:type="dxa" w:w="160"/>
              <w:bottom w:type="dxa" w:w="120"/>
              <w:right w:type="dxa" w:w="160"/>
            </w:tcMar>
          </w:tcPr>
          <w:p>
            <w:pPr>
              <w:spacing w:after="60"/>
            </w:pPr>
            <w:r>
              <w:rPr>
                <w:rFonts w:ascii="Arial" w:cs="Arial" w:eastAsia="Arial" w:hAnsi="Arial"/>
                <w:color w:val="2C3E50"/>
                <w:sz w:val="20"/>
                <w:szCs w:val="20"/>
              </w:rPr>
              <w:t xml:space="preserve">Risque actuel : accès non contrôlé à l’ensemble des images et métadonnées</w:t>
            </w:r>
          </w:p>
          <w:p>
            <w:pPr>
              <w:spacing w:after="60"/>
            </w:pPr>
            <w:r>
              <w:rPr>
                <w:rFonts w:ascii="Arial" w:cs="Arial" w:eastAsia="Arial" w:hAnsi="Arial"/>
                <w:color w:val="2C3E50"/>
                <w:sz w:val="20"/>
                <w:szCs w:val="20"/>
              </w:rPr>
              <w:t xml:space="preserve">Risque actuel : consommation illimitée de tokens AI (coût financier direct)</w:t>
            </w:r>
          </w:p>
          <w:p>
            <w:pPr>
              <w:spacing w:after="60"/>
            </w:pPr>
            <w:r>
              <w:rPr>
                <w:rFonts w:ascii="Arial" w:cs="Arial" w:eastAsia="Arial" w:hAnsi="Arial"/>
                <w:color w:val="2C3E50"/>
                <w:sz w:val="20"/>
                <w:szCs w:val="20"/>
              </w:rPr>
              <w:t xml:space="preserve">Risque actuel : suppression accidentelle ou malveillante de données</w:t>
            </w:r>
          </w:p>
        </w:tc>
      </w:tr>
    </w:tbl>
    <w:p>
      <w:pPr>
        <w:spacing w:before="200" w:after="0"/>
      </w:pPr>
    </w:p>
    <w:p>
      <w:pPr>
        <w:pStyle w:val="Heading2"/>
      </w:pPr>
      <w:r>
        <w:rPr>
          <w:rFonts w:ascii="Arial" w:cs="Arial" w:eastAsia="Arial" w:hAnsi="Arial"/>
          <w:b/>
          <w:bCs/>
          <w:color w:val="1A56A0"/>
          <w:sz w:val="28"/>
          <w:szCs w:val="28"/>
        </w:rPr>
        <w:t xml:space="preserve">2.2 Solution recommandée — API Keys + JWT</w:t>
      </w:r>
    </w:p>
    <w:p>
      <w:pPr>
        <w:spacing w:after="160" w:before="80"/>
      </w:pPr>
      <w:r>
        <w:rPr>
          <w:rFonts w:ascii="Arial" w:cs="Arial" w:eastAsia="Arial" w:hAnsi="Arial"/>
          <w:color w:val="2C3E50"/>
          <w:sz w:val="22"/>
          <w:szCs w:val="22"/>
        </w:rPr>
        <w:t xml:space="preserve">Pour un hub multi-clients, la combinaison la plus pragmatique est : des API Keys pour l’authentification machine-to-machine (clients automatiques, scripts), et des tokens JWT pour les sessions utilisateurs interactives.</w:t>
      </w:r>
    </w:p>
    <w:p>
      <w:pPr>
        <w:spacing w:before="12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00"/>
        <w:gridCol w:w="3413"/>
        <w:gridCol w:w="3413"/>
      </w:tblGrid>
      <w:tr>
        <w:trPr>
          <w:tblHeader/>
        </w:trPr>
        <w:tc>
          <w:tcPr>
            <w:tcW w:type="dxa" w:w="2200"/>
            <w:tcBorders>
              <w:top w:val="single" w:color="3A7DBF" w:sz="4"/>
              <w:left w:val="single" w:color="3A7DBF" w:sz="4"/>
              <w:bottom w:val="single" w:color="3A7DBF" w:sz="4"/>
              <w:right w:val="single" w:color="3A7DBF" w:sz="4"/>
            </w:tcBorders>
            <w:shd w:fill="1A56A0" w:val="clear"/>
            <w:tcMar>
              <w:top w:type="dxa" w:w="100"/>
              <w:left w:type="dxa" w:w="120"/>
              <w:bottom w:type="dxa" w:w="100"/>
              <w:right w:type="dxa" w:w="120"/>
            </w:tcMar>
            <w:vAlign w:val="center"/>
          </w:tcPr>
          <w:p>
            <w:pPr>
              <w:jc w:val="center"/>
            </w:pPr>
            <w:r>
              <w:rPr>
                <w:rFonts w:ascii="Arial" w:cs="Arial" w:eastAsia="Arial" w:hAnsi="Arial"/>
                <w:b/>
                <w:bCs/>
                <w:color w:val="FFFFFF"/>
                <w:sz w:val="20"/>
                <w:szCs w:val="20"/>
              </w:rPr>
              <w:t xml:space="preserve">Mécanisme</w:t>
            </w:r>
          </w:p>
        </w:tc>
        <w:tc>
          <w:tcPr>
            <w:tcW w:type="dxa" w:w="3413"/>
            <w:tcBorders>
              <w:top w:val="single" w:color="3A7DBF" w:sz="4"/>
              <w:left w:val="single" w:color="3A7DBF" w:sz="4"/>
              <w:bottom w:val="single" w:color="3A7DBF" w:sz="4"/>
              <w:right w:val="single" w:color="3A7DBF" w:sz="4"/>
            </w:tcBorders>
            <w:shd w:fill="1A56A0" w:val="clear"/>
            <w:tcMar>
              <w:top w:type="dxa" w:w="100"/>
              <w:left w:type="dxa" w:w="120"/>
              <w:bottom w:type="dxa" w:w="100"/>
              <w:right w:type="dxa" w:w="120"/>
            </w:tcMar>
            <w:vAlign w:val="center"/>
          </w:tcPr>
          <w:p>
            <w:pPr>
              <w:jc w:val="center"/>
            </w:pPr>
            <w:r>
              <w:rPr>
                <w:rFonts w:ascii="Arial" w:cs="Arial" w:eastAsia="Arial" w:hAnsi="Arial"/>
                <w:b/>
                <w:bCs/>
                <w:color w:val="FFFFFF"/>
                <w:sz w:val="20"/>
                <w:szCs w:val="20"/>
              </w:rPr>
              <w:t xml:space="preserve">Cas d’usage</w:t>
            </w:r>
          </w:p>
        </w:tc>
        <w:tc>
          <w:tcPr>
            <w:tcW w:type="dxa" w:w="3413"/>
            <w:tcBorders>
              <w:top w:val="single" w:color="3A7DBF" w:sz="4"/>
              <w:left w:val="single" w:color="3A7DBF" w:sz="4"/>
              <w:bottom w:val="single" w:color="3A7DBF" w:sz="4"/>
              <w:right w:val="single" w:color="3A7DBF" w:sz="4"/>
            </w:tcBorders>
            <w:shd w:fill="1A56A0" w:val="clear"/>
            <w:tcMar>
              <w:top w:type="dxa" w:w="100"/>
              <w:left w:type="dxa" w:w="120"/>
              <w:bottom w:type="dxa" w:w="100"/>
              <w:right w:type="dxa" w:w="120"/>
            </w:tcMar>
            <w:vAlign w:val="center"/>
          </w:tcPr>
          <w:p>
            <w:pPr>
              <w:jc w:val="center"/>
            </w:pPr>
            <w:r>
              <w:rPr>
                <w:rFonts w:ascii="Arial" w:cs="Arial" w:eastAsia="Arial" w:hAnsi="Arial"/>
                <w:b/>
                <w:bCs/>
                <w:color w:val="FFFFFF"/>
                <w:sz w:val="20"/>
                <w:szCs w:val="20"/>
              </w:rPr>
              <w:t xml:space="preserve">Avantages</w:t>
            </w:r>
          </w:p>
        </w:tc>
      </w:tr>
      <w:tr>
        <w:tc>
          <w:tcPr>
            <w:tcW w:type="dxa" w:w="22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API Key</w:t>
            </w:r>
          </w:p>
        </w:tc>
        <w:tc>
          <w:tcPr>
            <w:tcW w:type="dxa" w:w="3413"/>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Shaarli, applications serveur, scripts CLI</w:t>
            </w:r>
          </w:p>
        </w:tc>
        <w:tc>
          <w:tcPr>
            <w:tcW w:type="dxa" w:w="3413"/>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Simple, stateless, facile à révoquer par client</w:t>
            </w:r>
          </w:p>
        </w:tc>
      </w:tr>
      <w:tr>
        <w:tc>
          <w:tcPr>
            <w:tcW w:type="dxa" w:w="22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JWT (Bearer)</w:t>
            </w:r>
          </w:p>
        </w:tc>
        <w:tc>
          <w:tcPr>
            <w:tcW w:type="dxa" w:w="3413"/>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Interface web, utilisateur connecté</w:t>
            </w:r>
          </w:p>
        </w:tc>
        <w:tc>
          <w:tcPr>
            <w:tcW w:type="dxa" w:w="3413"/>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Expiration automatique, payload riche</w:t>
            </w:r>
          </w:p>
        </w:tc>
      </w:tr>
      <w:tr>
        <w:tc>
          <w:tcPr>
            <w:tcW w:type="dxa" w:w="22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OAuth2 (futur)</w:t>
            </w:r>
          </w:p>
        </w:tc>
        <w:tc>
          <w:tcPr>
            <w:tcW w:type="dxa" w:w="3413"/>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Intégration systèmes tiers</w:t>
            </w:r>
          </w:p>
        </w:tc>
        <w:tc>
          <w:tcPr>
            <w:tcW w:type="dxa" w:w="3413"/>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Standard industriel, écosystème large</w:t>
            </w:r>
          </w:p>
        </w:tc>
      </w:tr>
    </w:tbl>
    <w:p>
      <w:pPr>
        <w:spacing w:before="200" w:after="0"/>
      </w:pPr>
    </w:p>
    <w:p>
      <w:pPr>
        <w:pStyle w:val="Heading2"/>
      </w:pPr>
      <w:r>
        <w:rPr>
          <w:rFonts w:ascii="Arial" w:cs="Arial" w:eastAsia="Arial" w:hAnsi="Arial"/>
          <w:b/>
          <w:bCs/>
          <w:color w:val="1A56A0"/>
          <w:sz w:val="28"/>
          <w:szCs w:val="28"/>
        </w:rPr>
        <w:t xml:space="preserve">2.3 Implémentation</w:t>
      </w:r>
    </w:p>
    <w:p>
      <w:pPr>
        <w:spacing w:after="160" w:before="80"/>
      </w:pPr>
      <w:r>
        <w:rPr>
          <w:rFonts w:ascii="Arial" w:cs="Arial" w:eastAsia="Arial" w:hAnsi="Arial"/>
          <w:color w:val="2C3E50"/>
          <w:sz w:val="22"/>
          <w:szCs w:val="22"/>
        </w:rPr>
        <w:t xml:space="preserve">Ajouter un modèle APIClient en base de données reliant chaque client à ses permissions et sa clé. Injecter une dépendance FastAPI verify_api_key qui valide la clé sur chaque requête. Définir des scopes granulaires : images:read, images:write, images:delete, ai:use.</w:t>
      </w:r>
    </w:p>
    <w:p>
      <w:pPr>
        <w:spacing w:before="10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00"/>
        <w:gridCol w:w="8826"/>
      </w:tblGrid>
      <w:tr>
        <w:tc>
          <w:tcPr>
            <w:tcW w:type="dxa" w:w="200"/>
            <w:tcBorders>
              <w:top w:val="none" w:color="FFFFFF" w:sz="0"/>
              <w:left w:val="single" w:color="1A56A0" w:sz="16"/>
              <w:bottom w:val="none" w:color="FFFFFF" w:sz="0"/>
              <w:right w:val="none" w:color="FFFFFF" w:sz="0"/>
            </w:tcBorders>
            <w:shd w:fill="EBF5FB" w:val="clear"/>
            <w:tcMar>
              <w:top w:type="dxa" w:w="100"/>
              <w:left w:type="dxa" w:w="120"/>
              <w:bottom w:type="dxa" w:w="100"/>
              <w:right w:type="dxa" w:w="0"/>
            </w:tcMar>
          </w:tcPr>
          <w:p/>
        </w:tc>
        <w:tc>
          <w:tcPr>
            <w:tcW w:type="dxa" w:w="8826"/>
            <w:tcBorders>
              <w:top w:val="none" w:color="FFFFFF" w:sz="0"/>
              <w:left w:val="none" w:color="FFFFFF" w:sz="0"/>
              <w:bottom w:val="none" w:color="FFFFFF" w:sz="0"/>
              <w:right w:val="none" w:color="FFFFFF" w:sz="0"/>
            </w:tcBorders>
            <w:shd w:fill="EBF5FB" w:val="clear"/>
            <w:tcMar>
              <w:top w:type="dxa" w:w="120"/>
              <w:left w:type="dxa" w:w="160"/>
              <w:bottom w:type="dxa" w:w="120"/>
              <w:right w:type="dxa" w:w="160"/>
            </w:tcMar>
          </w:tcPr>
          <w:p>
            <w:pPr>
              <w:spacing w:after="60"/>
            </w:pPr>
            <w:r>
              <w:rPr>
                <w:rFonts w:ascii="Arial" w:cs="Arial" w:eastAsia="Arial" w:hAnsi="Arial"/>
                <w:color w:val="2C3E50"/>
                <w:sz w:val="20"/>
                <w:szCs w:val="20"/>
              </w:rPr>
              <w:t xml:space="preserve">Librairies : python-jose (JWT), passlib (hachage), itsdangerous (tokens signés)</w:t>
            </w:r>
          </w:p>
          <w:p>
            <w:pPr>
              <w:spacing w:after="60"/>
            </w:pPr>
            <w:r>
              <w:rPr>
                <w:rFonts w:ascii="Arial" w:cs="Arial" w:eastAsia="Arial" w:hAnsi="Arial"/>
                <w:color w:val="2C3E50"/>
                <w:sz w:val="20"/>
                <w:szCs w:val="20"/>
              </w:rPr>
              <w:t xml:space="preserve">Stockage des clés : hashées en base (sha256), jamais en clair</w:t>
            </w:r>
          </w:p>
          <w:p>
            <w:pPr>
              <w:spacing w:after="60"/>
            </w:pPr>
            <w:r>
              <w:rPr>
                <w:rFonts w:ascii="Arial" w:cs="Arial" w:eastAsia="Arial" w:hAnsi="Arial"/>
                <w:color w:val="2C3E50"/>
                <w:sz w:val="20"/>
                <w:szCs w:val="20"/>
              </w:rPr>
              <w:t xml:space="preserve">Rotation des clés : endpoint POST /auth/rotate-key avec période de transition</w:t>
            </w:r>
          </w:p>
          <w:p>
            <w:pPr>
              <w:spacing w:after="60"/>
            </w:pPr>
            <w:r>
              <w:rPr>
                <w:rFonts w:ascii="Arial" w:cs="Arial" w:eastAsia="Arial" w:hAnsi="Arial"/>
                <w:color w:val="2C3E50"/>
                <w:sz w:val="20"/>
                <w:szCs w:val="20"/>
              </w:rPr>
              <w:t xml:space="preserve">Audit log : chaque requête authentifiée logguée avec client_id, action, timestamp</w:t>
            </w:r>
          </w:p>
        </w:tc>
      </w:tr>
    </w:tbl>
    <w:p>
      <w:r>
        <w:br w:type="page"/>
      </w:r>
    </w:p>
    <w:p>
      <w:pPr>
        <w:pStyle w:val="Heading1"/>
      </w:pPr>
      <w:r>
        <w:rPr>
          <w:rFonts w:ascii="Arial" w:cs="Arial" w:eastAsia="Arial" w:hAnsi="Arial"/>
          <w:b/>
          <w:bCs/>
          <w:color w:val="1A56A0"/>
          <w:sz w:val="36"/>
          <w:szCs w:val="36"/>
        </w:rPr>
        <w:t xml:space="preserve">3. Axe 2 — Architecture multi-clients (tenants)</w:t>
      </w:r>
    </w:p>
    <w:p>
      <w:pPr>
        <w:pBdr>
          <w:bottom w:val="single" w:color="1A56A0" w:sz="8" w:space="1"/>
        </w:pBdr>
        <w:spacing w:after="200"/>
      </w:pPr>
    </w:p>
    <w:p>
      <w:pPr>
        <w:pStyle w:val="Heading2"/>
      </w:pPr>
      <w:r>
        <w:rPr>
          <w:rFonts w:ascii="Arial" w:cs="Arial" w:eastAsia="Arial" w:hAnsi="Arial"/>
          <w:b/>
          <w:bCs/>
          <w:color w:val="1A56A0"/>
          <w:sz w:val="28"/>
          <w:szCs w:val="28"/>
        </w:rPr>
        <w:t xml:space="preserve">3.1 Vision cible</w:t>
      </w:r>
    </w:p>
    <w:p>
      <w:pPr>
        <w:spacing w:after="160" w:before="80"/>
      </w:pPr>
      <w:r>
        <w:rPr>
          <w:rFonts w:ascii="Arial" w:cs="Arial" w:eastAsia="Arial" w:hAnsi="Arial"/>
          <w:color w:val="2C3E50"/>
          <w:sz w:val="22"/>
          <w:szCs w:val="22"/>
        </w:rPr>
        <w:t xml:space="preserve">Le hub doit servir plusieurs applications clientes avec une isolation complète des données. Shaarli est le client 1, mais d’autres applications peuvent s’inscrire et utiliser l’API de manière indépendante. Chaque client possède son propre espace de stockage, ses propres images et ses propres quotas.</w:t>
      </w:r>
    </w:p>
    <w:p>
      <w:pPr>
        <w:spacing w:before="12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000"/>
        <w:gridCol w:w="6026"/>
      </w:tblGrid>
      <w:tr>
        <w:trPr>
          <w:tblHeader/>
        </w:trPr>
        <w:tc>
          <w:tcPr>
            <w:tcW w:type="dxa" w:w="3000"/>
            <w:tcBorders>
              <w:top w:val="single" w:color="3A7DBF" w:sz="4"/>
              <w:left w:val="single" w:color="3A7DBF" w:sz="4"/>
              <w:bottom w:val="single" w:color="3A7DBF" w:sz="4"/>
              <w:right w:val="single" w:color="3A7DBF" w:sz="4"/>
            </w:tcBorders>
            <w:shd w:fill="1A56A0" w:val="clear"/>
            <w:tcMar>
              <w:top w:type="dxa" w:w="100"/>
              <w:left w:type="dxa" w:w="120"/>
              <w:bottom w:type="dxa" w:w="100"/>
              <w:right w:type="dxa" w:w="120"/>
            </w:tcMar>
            <w:vAlign w:val="center"/>
          </w:tcPr>
          <w:p>
            <w:pPr>
              <w:jc w:val="center"/>
            </w:pPr>
            <w:r>
              <w:rPr>
                <w:rFonts w:ascii="Arial" w:cs="Arial" w:eastAsia="Arial" w:hAnsi="Arial"/>
                <w:b/>
                <w:bCs/>
                <w:color w:val="FFFFFF"/>
                <w:sz w:val="20"/>
                <w:szCs w:val="20"/>
              </w:rPr>
              <w:t xml:space="preserve">Concept</w:t>
            </w:r>
          </w:p>
        </w:tc>
        <w:tc>
          <w:tcPr>
            <w:tcW w:type="dxa" w:w="6026"/>
            <w:tcBorders>
              <w:top w:val="single" w:color="3A7DBF" w:sz="4"/>
              <w:left w:val="single" w:color="3A7DBF" w:sz="4"/>
              <w:bottom w:val="single" w:color="3A7DBF" w:sz="4"/>
              <w:right w:val="single" w:color="3A7DBF" w:sz="4"/>
            </w:tcBorders>
            <w:shd w:fill="1A56A0" w:val="clear"/>
            <w:tcMar>
              <w:top w:type="dxa" w:w="100"/>
              <w:left w:type="dxa" w:w="120"/>
              <w:bottom w:type="dxa" w:w="100"/>
              <w:right w:type="dxa" w:w="120"/>
            </w:tcMar>
            <w:vAlign w:val="center"/>
          </w:tcPr>
          <w:p>
            <w:pPr>
              <w:jc w:val="center"/>
            </w:pPr>
            <w:r>
              <w:rPr>
                <w:rFonts w:ascii="Arial" w:cs="Arial" w:eastAsia="Arial" w:hAnsi="Arial"/>
                <w:b/>
                <w:bCs/>
                <w:color w:val="FFFFFF"/>
                <w:sz w:val="20"/>
                <w:szCs w:val="20"/>
              </w:rPr>
              <w:t xml:space="preserve">Description</w:t>
            </w:r>
          </w:p>
        </w:tc>
      </w:tr>
      <w:tr>
        <w:tc>
          <w:tcPr>
            <w:tcW w:type="dxa" w:w="30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Client (Tenant)</w:t>
            </w:r>
          </w:p>
        </w:tc>
        <w:tc>
          <w:tcPr>
            <w:tcW w:type="dxa" w:w="6026"/>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Une application consommatrice de l’API. Identifiée par son API Key. Ex: Shaarli, App Mobile, Script de backup.</w:t>
            </w:r>
          </w:p>
        </w:tc>
      </w:tr>
      <w:tr>
        <w:tc>
          <w:tcPr>
            <w:tcW w:type="dxa" w:w="30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Espace de stockage</w:t>
            </w:r>
          </w:p>
        </w:tc>
        <w:tc>
          <w:tcPr>
            <w:tcW w:type="dxa" w:w="6026"/>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Répertoire dédié : uploads/{client_id}/. Les images d’un client ne sont jamais accessibles par un autre.</w:t>
            </w:r>
          </w:p>
        </w:tc>
      </w:tr>
      <w:tr>
        <w:tc>
          <w:tcPr>
            <w:tcW w:type="dxa" w:w="30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Quota</w:t>
            </w:r>
          </w:p>
        </w:tc>
        <w:tc>
          <w:tcPr>
            <w:tcW w:type="dxa" w:w="6026"/>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Limite configurable : nb d’images, espace disque total, tokens AI consommés par mois.</w:t>
            </w:r>
          </w:p>
        </w:tc>
      </w:tr>
      <w:tr>
        <w:tc>
          <w:tcPr>
            <w:tcW w:type="dxa" w:w="30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Plan</w:t>
            </w:r>
          </w:p>
        </w:tc>
        <w:tc>
          <w:tcPr>
            <w:tcW w:type="dxa" w:w="6026"/>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Niveaux de service : free (limite stricte), standard, premium (OCR + AI complets).</w:t>
            </w:r>
          </w:p>
        </w:tc>
      </w:tr>
    </w:tbl>
    <w:p>
      <w:pPr>
        <w:spacing w:before="200" w:after="0"/>
      </w:pPr>
    </w:p>
    <w:p>
      <w:pPr>
        <w:pStyle w:val="Heading2"/>
      </w:pPr>
      <w:r>
        <w:rPr>
          <w:rFonts w:ascii="Arial" w:cs="Arial" w:eastAsia="Arial" w:hAnsi="Arial"/>
          <w:b/>
          <w:bCs/>
          <w:color w:val="1A56A0"/>
          <w:sz w:val="28"/>
          <w:szCs w:val="28"/>
        </w:rPr>
        <w:t xml:space="preserve">3.2 Modifications de la base de données</w:t>
      </w:r>
    </w:p>
    <w:p>
      <w:pPr>
        <w:spacing w:after="160" w:before="80"/>
      </w:pPr>
      <w:r>
        <w:rPr>
          <w:rFonts w:ascii="Arial" w:cs="Arial" w:eastAsia="Arial" w:hAnsi="Arial"/>
          <w:color w:val="2C3E50"/>
          <w:sz w:val="22"/>
          <w:szCs w:val="22"/>
        </w:rPr>
        <w:t xml:space="preserve">Ajouter une table clients avec les champs essentiels. Lier chaque image à son client via une clé étrangère client_id. Tous les endpoints filtrent automatiquement par client_id injecté depuis l’authentification.</w:t>
      </w:r>
    </w:p>
    <w:p>
      <w:pPr>
        <w:spacing w:before="12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000"/>
        <w:gridCol w:w="2000"/>
        <w:gridCol w:w="5026"/>
      </w:tblGrid>
      <w:tr>
        <w:trPr>
          <w:tblHeader/>
        </w:trPr>
        <w:tc>
          <w:tcPr>
            <w:tcW w:type="dxa" w:w="2000"/>
            <w:tcBorders>
              <w:top w:val="single" w:color="3A7DBF" w:sz="4"/>
              <w:left w:val="single" w:color="3A7DBF" w:sz="4"/>
              <w:bottom w:val="single" w:color="3A7DBF" w:sz="4"/>
              <w:right w:val="single" w:color="3A7DBF" w:sz="4"/>
            </w:tcBorders>
            <w:shd w:fill="1A56A0" w:val="clear"/>
            <w:tcMar>
              <w:top w:type="dxa" w:w="100"/>
              <w:left w:type="dxa" w:w="120"/>
              <w:bottom w:type="dxa" w:w="100"/>
              <w:right w:type="dxa" w:w="120"/>
            </w:tcMar>
            <w:vAlign w:val="center"/>
          </w:tcPr>
          <w:p>
            <w:pPr>
              <w:jc w:val="center"/>
            </w:pPr>
            <w:r>
              <w:rPr>
                <w:rFonts w:ascii="Arial" w:cs="Arial" w:eastAsia="Arial" w:hAnsi="Arial"/>
                <w:b/>
                <w:bCs/>
                <w:color w:val="FFFFFF"/>
                <w:sz w:val="20"/>
                <w:szCs w:val="20"/>
              </w:rPr>
              <w:t xml:space="preserve">Champ</w:t>
            </w:r>
          </w:p>
        </w:tc>
        <w:tc>
          <w:tcPr>
            <w:tcW w:type="dxa" w:w="2000"/>
            <w:tcBorders>
              <w:top w:val="single" w:color="3A7DBF" w:sz="4"/>
              <w:left w:val="single" w:color="3A7DBF" w:sz="4"/>
              <w:bottom w:val="single" w:color="3A7DBF" w:sz="4"/>
              <w:right w:val="single" w:color="3A7DBF" w:sz="4"/>
            </w:tcBorders>
            <w:shd w:fill="1A56A0" w:val="clear"/>
            <w:tcMar>
              <w:top w:type="dxa" w:w="100"/>
              <w:left w:type="dxa" w:w="120"/>
              <w:bottom w:type="dxa" w:w="100"/>
              <w:right w:type="dxa" w:w="120"/>
            </w:tcMar>
            <w:vAlign w:val="center"/>
          </w:tcPr>
          <w:p>
            <w:pPr>
              <w:jc w:val="center"/>
            </w:pPr>
            <w:r>
              <w:rPr>
                <w:rFonts w:ascii="Arial" w:cs="Arial" w:eastAsia="Arial" w:hAnsi="Arial"/>
                <w:b/>
                <w:bCs/>
                <w:color w:val="FFFFFF"/>
                <w:sz w:val="20"/>
                <w:szCs w:val="20"/>
              </w:rPr>
              <w:t xml:space="preserve">Type</w:t>
            </w:r>
          </w:p>
        </w:tc>
        <w:tc>
          <w:tcPr>
            <w:tcW w:type="dxa" w:w="5026"/>
            <w:tcBorders>
              <w:top w:val="single" w:color="3A7DBF" w:sz="4"/>
              <w:left w:val="single" w:color="3A7DBF" w:sz="4"/>
              <w:bottom w:val="single" w:color="3A7DBF" w:sz="4"/>
              <w:right w:val="single" w:color="3A7DBF" w:sz="4"/>
            </w:tcBorders>
            <w:shd w:fill="1A56A0" w:val="clear"/>
            <w:tcMar>
              <w:top w:type="dxa" w:w="100"/>
              <w:left w:type="dxa" w:w="120"/>
              <w:bottom w:type="dxa" w:w="100"/>
              <w:right w:type="dxa" w:w="120"/>
            </w:tcMar>
            <w:vAlign w:val="center"/>
          </w:tcPr>
          <w:p>
            <w:pPr>
              <w:jc w:val="center"/>
            </w:pPr>
            <w:r>
              <w:rPr>
                <w:rFonts w:ascii="Arial" w:cs="Arial" w:eastAsia="Arial" w:hAnsi="Arial"/>
                <w:b/>
                <w:bCs/>
                <w:color w:val="FFFFFF"/>
                <w:sz w:val="20"/>
                <w:szCs w:val="20"/>
              </w:rPr>
              <w:t xml:space="preserve">Description</w:t>
            </w:r>
          </w:p>
        </w:tc>
      </w:tr>
      <w:tr>
        <w:tc>
          <w:tcPr>
            <w:tcW w:type="dxa" w:w="20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id</w:t>
            </w:r>
          </w:p>
        </w:tc>
        <w:tc>
          <w:tcPr>
            <w:tcW w:type="dxa" w:w="20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UUID</w:t>
            </w:r>
          </w:p>
        </w:tc>
        <w:tc>
          <w:tcPr>
            <w:tcW w:type="dxa" w:w="5026"/>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Identifiant unique du client</w:t>
            </w:r>
          </w:p>
        </w:tc>
      </w:tr>
      <w:tr>
        <w:tc>
          <w:tcPr>
            <w:tcW w:type="dxa" w:w="20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name</w:t>
            </w:r>
          </w:p>
        </w:tc>
        <w:tc>
          <w:tcPr>
            <w:tcW w:type="dxa" w:w="2000"/>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String</w:t>
            </w:r>
          </w:p>
        </w:tc>
        <w:tc>
          <w:tcPr>
            <w:tcW w:type="dxa" w:w="5026"/>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Nom de l’application cliente</w:t>
            </w:r>
          </w:p>
        </w:tc>
      </w:tr>
      <w:tr>
        <w:tc>
          <w:tcPr>
            <w:tcW w:type="dxa" w:w="20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api_key_hash</w:t>
            </w:r>
          </w:p>
        </w:tc>
        <w:tc>
          <w:tcPr>
            <w:tcW w:type="dxa" w:w="20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String</w:t>
            </w:r>
          </w:p>
        </w:tc>
        <w:tc>
          <w:tcPr>
            <w:tcW w:type="dxa" w:w="5026"/>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Hash SHA-256 de la clé (jamais en clair)</w:t>
            </w:r>
          </w:p>
        </w:tc>
      </w:tr>
      <w:tr>
        <w:tc>
          <w:tcPr>
            <w:tcW w:type="dxa" w:w="20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scopes</w:t>
            </w:r>
          </w:p>
        </w:tc>
        <w:tc>
          <w:tcPr>
            <w:tcW w:type="dxa" w:w="2000"/>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JSON</w:t>
            </w:r>
          </w:p>
        </w:tc>
        <w:tc>
          <w:tcPr>
            <w:tcW w:type="dxa" w:w="5026"/>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Permissions accordées : [images:read, ai:use, ...]</w:t>
            </w:r>
          </w:p>
        </w:tc>
      </w:tr>
      <w:tr>
        <w:tc>
          <w:tcPr>
            <w:tcW w:type="dxa" w:w="20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quota_images</w:t>
            </w:r>
          </w:p>
        </w:tc>
        <w:tc>
          <w:tcPr>
            <w:tcW w:type="dxa" w:w="20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Integer</w:t>
            </w:r>
          </w:p>
        </w:tc>
        <w:tc>
          <w:tcPr>
            <w:tcW w:type="dxa" w:w="5026"/>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Nombre maximum d’images stockées</w:t>
            </w:r>
          </w:p>
        </w:tc>
      </w:tr>
      <w:tr>
        <w:tc>
          <w:tcPr>
            <w:tcW w:type="dxa" w:w="20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quota_storage_mb</w:t>
            </w:r>
          </w:p>
        </w:tc>
        <w:tc>
          <w:tcPr>
            <w:tcW w:type="dxa" w:w="2000"/>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Integer</w:t>
            </w:r>
          </w:p>
        </w:tc>
        <w:tc>
          <w:tcPr>
            <w:tcW w:type="dxa" w:w="5026"/>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Espace disque alloué en mégaoctets</w:t>
            </w:r>
          </w:p>
        </w:tc>
      </w:tr>
      <w:tr>
        <w:tc>
          <w:tcPr>
            <w:tcW w:type="dxa" w:w="20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quota_ai_tokens</w:t>
            </w:r>
          </w:p>
        </w:tc>
        <w:tc>
          <w:tcPr>
            <w:tcW w:type="dxa" w:w="20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Integer</w:t>
            </w:r>
          </w:p>
        </w:tc>
        <w:tc>
          <w:tcPr>
            <w:tcW w:type="dxa" w:w="5026"/>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Tokens AI mensuels autorisés</w:t>
            </w:r>
          </w:p>
        </w:tc>
      </w:tr>
      <w:tr>
        <w:tc>
          <w:tcPr>
            <w:tcW w:type="dxa" w:w="20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is_active</w:t>
            </w:r>
          </w:p>
        </w:tc>
        <w:tc>
          <w:tcPr>
            <w:tcW w:type="dxa" w:w="2000"/>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Boolean</w:t>
            </w:r>
          </w:p>
        </w:tc>
        <w:tc>
          <w:tcPr>
            <w:tcW w:type="dxa" w:w="5026"/>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Désactiver un client sans supprimer ses données</w:t>
            </w:r>
          </w:p>
        </w:tc>
      </w:tr>
      <w:tr>
        <w:tc>
          <w:tcPr>
            <w:tcW w:type="dxa" w:w="20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created_at</w:t>
            </w:r>
          </w:p>
        </w:tc>
        <w:tc>
          <w:tcPr>
            <w:tcW w:type="dxa" w:w="20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DateTime</w:t>
            </w:r>
          </w:p>
        </w:tc>
        <w:tc>
          <w:tcPr>
            <w:tcW w:type="dxa" w:w="5026"/>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Date d’inscription</w:t>
            </w:r>
          </w:p>
        </w:tc>
      </w:tr>
    </w:tbl>
    <w:p>
      <w:r>
        <w:br w:type="page"/>
      </w:r>
    </w:p>
    <w:p>
      <w:pPr>
        <w:pStyle w:val="Heading1"/>
      </w:pPr>
      <w:r>
        <w:rPr>
          <w:rFonts w:ascii="Arial" w:cs="Arial" w:eastAsia="Arial" w:hAnsi="Arial"/>
          <w:b/>
          <w:bCs/>
          <w:color w:val="1A56A0"/>
          <w:sz w:val="36"/>
          <w:szCs w:val="36"/>
        </w:rPr>
        <w:t xml:space="preserve">4. Axe 3 — Pipeline asynchrone robuste</w:t>
      </w:r>
    </w:p>
    <w:p>
      <w:pPr>
        <w:pBdr>
          <w:bottom w:val="single" w:color="1A56A0" w:sz="8" w:space="1"/>
        </w:pBdr>
        <w:spacing w:after="200"/>
      </w:pPr>
    </w:p>
    <w:p>
      <w:pPr>
        <w:pStyle w:val="Heading2"/>
      </w:pPr>
      <w:r>
        <w:rPr>
          <w:rFonts w:ascii="Arial" w:cs="Arial" w:eastAsia="Arial" w:hAnsi="Arial"/>
          <w:b/>
          <w:bCs/>
          <w:color w:val="1A56A0"/>
          <w:sz w:val="28"/>
          <w:szCs w:val="28"/>
        </w:rPr>
        <w:t xml:space="preserve">4.1 Limites de l’implémentation actuelle</w:t>
      </w:r>
    </w:p>
    <w:p>
      <w:pPr>
        <w:spacing w:after="160" w:before="80"/>
      </w:pPr>
      <w:r>
        <w:rPr>
          <w:rFonts w:ascii="Arial" w:cs="Arial" w:eastAsia="Arial" w:hAnsi="Arial"/>
          <w:color w:val="2C3E50"/>
          <w:sz w:val="22"/>
          <w:szCs w:val="22"/>
        </w:rPr>
        <w:t xml:space="preserve">Le pipeline actuel utilise les BackgroundTasks de FastAPI. Cette approche est fonctionnelle pour un usage léger mais présente des limites importantes pour un hub en production servant plusieurs clients.</w:t>
      </w:r>
    </w:p>
    <w:p>
      <w:pPr>
        <w:spacing w:before="12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00"/>
        <w:gridCol w:w="8826"/>
      </w:tblGrid>
      <w:tr>
        <w:tc>
          <w:tcPr>
            <w:tcW w:type="dxa" w:w="200"/>
            <w:tcBorders>
              <w:top w:val="none" w:color="FFFFFF" w:sz="0"/>
              <w:left w:val="single" w:color="E67E22" w:sz="16"/>
              <w:bottom w:val="none" w:color="FFFFFF" w:sz="0"/>
              <w:right w:val="none" w:color="FFFFFF" w:sz="0"/>
            </w:tcBorders>
            <w:shd w:fill="FDEBD0" w:val="clear"/>
            <w:tcMar>
              <w:top w:type="dxa" w:w="100"/>
              <w:left w:type="dxa" w:w="120"/>
              <w:bottom w:type="dxa" w:w="100"/>
              <w:right w:type="dxa" w:w="0"/>
            </w:tcMar>
          </w:tcPr>
          <w:p/>
        </w:tc>
        <w:tc>
          <w:tcPr>
            <w:tcW w:type="dxa" w:w="8826"/>
            <w:tcBorders>
              <w:top w:val="none" w:color="FFFFFF" w:sz="0"/>
              <w:left w:val="none" w:color="FFFFFF" w:sz="0"/>
              <w:bottom w:val="none" w:color="FFFFFF" w:sz="0"/>
              <w:right w:val="none" w:color="FFFFFF" w:sz="0"/>
            </w:tcBorders>
            <w:shd w:fill="FDEBD0" w:val="clear"/>
            <w:tcMar>
              <w:top w:type="dxa" w:w="120"/>
              <w:left w:type="dxa" w:w="160"/>
              <w:bottom w:type="dxa" w:w="120"/>
              <w:right w:type="dxa" w:w="160"/>
            </w:tcMar>
          </w:tcPr>
          <w:p>
            <w:pPr>
              <w:spacing w:after="60"/>
            </w:pPr>
            <w:r>
              <w:rPr>
                <w:rFonts w:ascii="Arial" w:cs="Arial" w:eastAsia="Arial" w:hAnsi="Arial"/>
                <w:color w:val="2C3E50"/>
                <w:sz w:val="20"/>
                <w:szCs w:val="20"/>
              </w:rPr>
              <w:t xml:space="preserve">Problème 1 : si le serveur redémarre, toutes les tâches en attente sont perdues (pas de persistance)</w:t>
            </w:r>
          </w:p>
          <w:p>
            <w:pPr>
              <w:spacing w:after="60"/>
            </w:pPr>
            <w:r>
              <w:rPr>
                <w:rFonts w:ascii="Arial" w:cs="Arial" w:eastAsia="Arial" w:hAnsi="Arial"/>
                <w:color w:val="2C3E50"/>
                <w:sz w:val="20"/>
                <w:szCs w:val="20"/>
              </w:rPr>
              <w:t xml:space="preserve">Problème 2 : pas de limite de concurrence, risque de saturer l’API Anthropic</w:t>
            </w:r>
          </w:p>
          <w:p>
            <w:pPr>
              <w:spacing w:after="60"/>
            </w:pPr>
            <w:r>
              <w:rPr>
                <w:rFonts w:ascii="Arial" w:cs="Arial" w:eastAsia="Arial" w:hAnsi="Arial"/>
                <w:color w:val="2C3E50"/>
                <w:sz w:val="20"/>
                <w:szCs w:val="20"/>
              </w:rPr>
              <w:t xml:space="preserve">Problème 3 : pas de retry automatique en cas d’échec transitoire (timeout API, erreur réseau)</w:t>
            </w:r>
          </w:p>
          <w:p>
            <w:pPr>
              <w:spacing w:after="60"/>
            </w:pPr>
            <w:r>
              <w:rPr>
                <w:rFonts w:ascii="Arial" w:cs="Arial" w:eastAsia="Arial" w:hAnsi="Arial"/>
                <w:color w:val="2C3E50"/>
                <w:sz w:val="20"/>
                <w:szCs w:val="20"/>
              </w:rPr>
              <w:t xml:space="preserve">Problème 4 : pas de priorité selon le plan client (premium servi avant free)</w:t>
            </w:r>
          </w:p>
        </w:tc>
      </w:tr>
    </w:tbl>
    <w:p>
      <w:pPr>
        <w:spacing w:before="200" w:after="0"/>
      </w:pPr>
    </w:p>
    <w:p>
      <w:pPr>
        <w:pStyle w:val="Heading2"/>
      </w:pPr>
      <w:r>
        <w:rPr>
          <w:rFonts w:ascii="Arial" w:cs="Arial" w:eastAsia="Arial" w:hAnsi="Arial"/>
          <w:b/>
          <w:bCs/>
          <w:color w:val="1A56A0"/>
          <w:sz w:val="28"/>
          <w:szCs w:val="28"/>
        </w:rPr>
        <w:t xml:space="preserve">4.2 Solution — File de messages avec ARQ ou Celery</w:t>
      </w:r>
    </w:p>
    <w:p>
      <w:pPr>
        <w:spacing w:after="160" w:before="80"/>
      </w:pPr>
      <w:r>
        <w:rPr>
          <w:rFonts w:ascii="Arial" w:cs="Arial" w:eastAsia="Arial" w:hAnsi="Arial"/>
          <w:color w:val="2C3E50"/>
          <w:sz w:val="22"/>
          <w:szCs w:val="22"/>
        </w:rPr>
        <w:t xml:space="preserve">Remplacer les BackgroundTasks par un système de file de tâches persistant. Deux options adaptées à la stack existante :</w:t>
      </w:r>
    </w:p>
    <w:p>
      <w:pPr>
        <w:spacing w:before="12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800"/>
        <w:gridCol w:w="3613"/>
        <w:gridCol w:w="3613"/>
      </w:tblGrid>
      <w:tr>
        <w:trPr>
          <w:tblHeader/>
        </w:trPr>
        <w:tc>
          <w:tcPr>
            <w:tcW w:type="dxa" w:w="1800"/>
            <w:tcBorders>
              <w:top w:val="single" w:color="3A7DBF" w:sz="4"/>
              <w:left w:val="single" w:color="3A7DBF" w:sz="4"/>
              <w:bottom w:val="single" w:color="3A7DBF" w:sz="4"/>
              <w:right w:val="single" w:color="3A7DBF" w:sz="4"/>
            </w:tcBorders>
            <w:shd w:fill="1A56A0" w:val="clear"/>
            <w:tcMar>
              <w:top w:type="dxa" w:w="100"/>
              <w:left w:type="dxa" w:w="120"/>
              <w:bottom w:type="dxa" w:w="100"/>
              <w:right w:type="dxa" w:w="120"/>
            </w:tcMar>
            <w:vAlign w:val="center"/>
          </w:tcPr>
          <w:p>
            <w:pPr>
              <w:jc w:val="center"/>
            </w:pPr>
            <w:r>
              <w:rPr>
                <w:rFonts w:ascii="Arial" w:cs="Arial" w:eastAsia="Arial" w:hAnsi="Arial"/>
                <w:b/>
                <w:bCs/>
                <w:color w:val="FFFFFF"/>
                <w:sz w:val="20"/>
                <w:szCs w:val="20"/>
              </w:rPr>
              <w:t xml:space="preserve">Solution</w:t>
            </w:r>
          </w:p>
        </w:tc>
        <w:tc>
          <w:tcPr>
            <w:tcW w:type="dxa" w:w="3613"/>
            <w:tcBorders>
              <w:top w:val="single" w:color="3A7DBF" w:sz="4"/>
              <w:left w:val="single" w:color="3A7DBF" w:sz="4"/>
              <w:bottom w:val="single" w:color="3A7DBF" w:sz="4"/>
              <w:right w:val="single" w:color="3A7DBF" w:sz="4"/>
            </w:tcBorders>
            <w:shd w:fill="1A56A0" w:val="clear"/>
            <w:tcMar>
              <w:top w:type="dxa" w:w="100"/>
              <w:left w:type="dxa" w:w="120"/>
              <w:bottom w:type="dxa" w:w="100"/>
              <w:right w:type="dxa" w:w="120"/>
            </w:tcMar>
            <w:vAlign w:val="center"/>
          </w:tcPr>
          <w:p>
            <w:pPr>
              <w:jc w:val="center"/>
            </w:pPr>
            <w:r>
              <w:rPr>
                <w:rFonts w:ascii="Arial" w:cs="Arial" w:eastAsia="Arial" w:hAnsi="Arial"/>
                <w:b/>
                <w:bCs/>
                <w:color w:val="FFFFFF"/>
                <w:sz w:val="20"/>
                <w:szCs w:val="20"/>
              </w:rPr>
              <w:t xml:space="preserve">Avantages</w:t>
            </w:r>
          </w:p>
        </w:tc>
        <w:tc>
          <w:tcPr>
            <w:tcW w:type="dxa" w:w="3613"/>
            <w:tcBorders>
              <w:top w:val="single" w:color="3A7DBF" w:sz="4"/>
              <w:left w:val="single" w:color="3A7DBF" w:sz="4"/>
              <w:bottom w:val="single" w:color="3A7DBF" w:sz="4"/>
              <w:right w:val="single" w:color="3A7DBF" w:sz="4"/>
            </w:tcBorders>
            <w:shd w:fill="1A56A0" w:val="clear"/>
            <w:tcMar>
              <w:top w:type="dxa" w:w="100"/>
              <w:left w:type="dxa" w:w="120"/>
              <w:bottom w:type="dxa" w:w="100"/>
              <w:right w:type="dxa" w:w="120"/>
            </w:tcMar>
            <w:vAlign w:val="center"/>
          </w:tcPr>
          <w:p>
            <w:pPr>
              <w:jc w:val="center"/>
            </w:pPr>
            <w:r>
              <w:rPr>
                <w:rFonts w:ascii="Arial" w:cs="Arial" w:eastAsia="Arial" w:hAnsi="Arial"/>
                <w:b/>
                <w:bCs/>
                <w:color w:val="FFFFFF"/>
                <w:sz w:val="20"/>
                <w:szCs w:val="20"/>
              </w:rPr>
              <w:t xml:space="preserve">Inconvénients</w:t>
            </w:r>
          </w:p>
        </w:tc>
      </w:tr>
      <w:tr>
        <w:tc>
          <w:tcPr>
            <w:tcW w:type="dxa" w:w="18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ARQ + Redis</w:t>
            </w:r>
          </w:p>
        </w:tc>
        <w:tc>
          <w:tcPr>
            <w:tcW w:type="dxa" w:w="3613"/>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100% async, léger, parfait pour FastAPI, retry natif</w:t>
            </w:r>
          </w:p>
        </w:tc>
        <w:tc>
          <w:tcPr>
            <w:tcW w:type="dxa" w:w="3613"/>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Nécessite Redis (service supplémentaire)</w:t>
            </w:r>
          </w:p>
        </w:tc>
      </w:tr>
      <w:tr>
        <w:tc>
          <w:tcPr>
            <w:tcW w:type="dxa" w:w="18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Celery + Redis</w:t>
            </w:r>
          </w:p>
        </w:tc>
        <w:tc>
          <w:tcPr>
            <w:tcW w:type="dxa" w:w="3613"/>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Très mature, monitoring Flower intégré, priorités</w:t>
            </w:r>
          </w:p>
        </w:tc>
        <w:tc>
          <w:tcPr>
            <w:tcW w:type="dxa" w:w="3613"/>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Plus lourd, mélange sync/async parfois délicat</w:t>
            </w:r>
          </w:p>
        </w:tc>
      </w:tr>
      <w:tr>
        <w:tc>
          <w:tcPr>
            <w:tcW w:type="dxa" w:w="18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Dramatiq</w:t>
            </w:r>
          </w:p>
        </w:tc>
        <w:tc>
          <w:tcPr>
            <w:tcW w:type="dxa" w:w="3613"/>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Simple, middleware extensible</w:t>
            </w:r>
          </w:p>
        </w:tc>
        <w:tc>
          <w:tcPr>
            <w:tcW w:type="dxa" w:w="3613"/>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Communauté plus petite qu’Celery</w:t>
            </w:r>
          </w:p>
        </w:tc>
      </w:tr>
    </w:tbl>
    <w:p>
      <w:pPr>
        <w:spacing w:before="160" w:after="0"/>
      </w:pPr>
    </w:p>
    <w:p>
      <w:pPr>
        <w:spacing w:after="160" w:before="80"/>
      </w:pPr>
      <w:r>
        <w:rPr>
          <w:rFonts w:ascii="Arial" w:cs="Arial" w:eastAsia="Arial" w:hAnsi="Arial"/>
          <w:color w:val="2C3E50"/>
          <w:sz w:val="22"/>
          <w:szCs w:val="22"/>
        </w:rPr>
        <w:t xml:space="preserve">Recommandation : ARQ avec Redis pour rester dans un écosystème async pur. Redis sert à la fois de broker de tâches et de cache pour les résultats AI.</w:t>
      </w:r>
    </w:p>
    <w:p>
      <w:pPr>
        <w:spacing w:before="12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00"/>
        <w:gridCol w:w="8826"/>
      </w:tblGrid>
      <w:tr>
        <w:tc>
          <w:tcPr>
            <w:tcW w:type="dxa" w:w="200"/>
            <w:tcBorders>
              <w:top w:val="none" w:color="FFFFFF" w:sz="0"/>
              <w:left w:val="single" w:color="1A56A0" w:sz="16"/>
              <w:bottom w:val="none" w:color="FFFFFF" w:sz="0"/>
              <w:right w:val="none" w:color="FFFFFF" w:sz="0"/>
            </w:tcBorders>
            <w:shd w:fill="EBF5FB" w:val="clear"/>
            <w:tcMar>
              <w:top w:type="dxa" w:w="100"/>
              <w:left w:type="dxa" w:w="120"/>
              <w:bottom w:type="dxa" w:w="100"/>
              <w:right w:type="dxa" w:w="0"/>
            </w:tcMar>
          </w:tcPr>
          <w:p/>
        </w:tc>
        <w:tc>
          <w:tcPr>
            <w:tcW w:type="dxa" w:w="8826"/>
            <w:tcBorders>
              <w:top w:val="none" w:color="FFFFFF" w:sz="0"/>
              <w:left w:val="none" w:color="FFFFFF" w:sz="0"/>
              <w:bottom w:val="none" w:color="FFFFFF" w:sz="0"/>
              <w:right w:val="none" w:color="FFFFFF" w:sz="0"/>
            </w:tcBorders>
            <w:shd w:fill="EBF5FB" w:val="clear"/>
            <w:tcMar>
              <w:top w:type="dxa" w:w="120"/>
              <w:left w:type="dxa" w:w="160"/>
              <w:bottom w:type="dxa" w:w="120"/>
              <w:right w:type="dxa" w:w="160"/>
            </w:tcMar>
          </w:tcPr>
          <w:p>
            <w:pPr>
              <w:spacing w:after="60"/>
            </w:pPr>
            <w:r>
              <w:rPr>
                <w:rFonts w:ascii="Arial" w:cs="Arial" w:eastAsia="Arial" w:hAnsi="Arial"/>
                <w:color w:val="2C3E50"/>
                <w:sz w:val="20"/>
                <w:szCs w:val="20"/>
              </w:rPr>
              <w:t xml:space="preserve">Retry configurable : 3 tentatives avec backoff exponentiel (1s, 4s, 16s)</w:t>
            </w:r>
          </w:p>
          <w:p>
            <w:pPr>
              <w:spacing w:after="60"/>
            </w:pPr>
            <w:r>
              <w:rPr>
                <w:rFonts w:ascii="Arial" w:cs="Arial" w:eastAsia="Arial" w:hAnsi="Arial"/>
                <w:color w:val="2C3E50"/>
                <w:sz w:val="20"/>
                <w:szCs w:val="20"/>
              </w:rPr>
              <w:t xml:space="preserve">Timeout par tâche : 120 secondes pour l’appel Vision AI, 30s pour OCR</w:t>
            </w:r>
          </w:p>
          <w:p>
            <w:pPr>
              <w:spacing w:after="60"/>
            </w:pPr>
            <w:r>
              <w:rPr>
                <w:rFonts w:ascii="Arial" w:cs="Arial" w:eastAsia="Arial" w:hAnsi="Arial"/>
                <w:color w:val="2C3E50"/>
                <w:sz w:val="20"/>
                <w:szCs w:val="20"/>
              </w:rPr>
              <w:t xml:space="preserve">Files distinctes : queue:premium (priorité haute) et queue:standard</w:t>
            </w:r>
          </w:p>
          <w:p>
            <w:pPr>
              <w:spacing w:after="60"/>
            </w:pPr>
            <w:r>
              <w:rPr>
                <w:rFonts w:ascii="Arial" w:cs="Arial" w:eastAsia="Arial" w:hAnsi="Arial"/>
                <w:color w:val="2C3E50"/>
                <w:sz w:val="20"/>
                <w:szCs w:val="20"/>
              </w:rPr>
              <w:t xml:space="preserve">Dead-letter queue : tâches échouées après 3 tentatives → alerte + log persistant</w:t>
            </w:r>
          </w:p>
        </w:tc>
      </w:tr>
    </w:tbl>
    <w:p>
      <w:r>
        <w:br w:type="page"/>
      </w:r>
    </w:p>
    <w:p>
      <w:pPr>
        <w:pStyle w:val="Heading1"/>
      </w:pPr>
      <w:r>
        <w:rPr>
          <w:rFonts w:ascii="Arial" w:cs="Arial" w:eastAsia="Arial" w:hAnsi="Arial"/>
          <w:b/>
          <w:bCs/>
          <w:color w:val="1A56A0"/>
          <w:sz w:val="36"/>
          <w:szCs w:val="36"/>
        </w:rPr>
        <w:t xml:space="preserve">5. Axe 4 — Stockage et distribution des fichiers</w:t>
      </w:r>
    </w:p>
    <w:p>
      <w:pPr>
        <w:pBdr>
          <w:bottom w:val="single" w:color="1A56A0" w:sz="8" w:space="1"/>
        </w:pBdr>
        <w:spacing w:after="200"/>
      </w:pPr>
    </w:p>
    <w:p>
      <w:pPr>
        <w:pStyle w:val="Heading2"/>
      </w:pPr>
      <w:r>
        <w:rPr>
          <w:rFonts w:ascii="Arial" w:cs="Arial" w:eastAsia="Arial" w:hAnsi="Arial"/>
          <w:b/>
          <w:bCs/>
          <w:color w:val="1A56A0"/>
          <w:sz w:val="28"/>
          <w:szCs w:val="28"/>
        </w:rPr>
        <w:t xml:space="preserve">5.1 Limites du stockage local</w:t>
      </w:r>
    </w:p>
    <w:p>
      <w:pPr>
        <w:spacing w:after="160" w:before="80"/>
      </w:pPr>
      <w:r>
        <w:rPr>
          <w:rFonts w:ascii="Arial" w:cs="Arial" w:eastAsia="Arial" w:hAnsi="Arial"/>
          <w:color w:val="2C3E50"/>
          <w:sz w:val="22"/>
          <w:szCs w:val="22"/>
        </w:rPr>
        <w:t xml:space="preserve">Le stockage sur disque local fonctionne pour un serveur unique mais devient problématique dès que l’on veut scaler horizontalement ou séparer le serveur applicatif du stockage. Un hub multi-clients aggrave ce problème.</w:t>
      </w:r>
    </w:p>
    <w:p>
      <w:pPr>
        <w:spacing w:before="12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00"/>
        <w:gridCol w:w="8826"/>
      </w:tblGrid>
      <w:tr>
        <w:tc>
          <w:tcPr>
            <w:tcW w:type="dxa" w:w="200"/>
            <w:tcBorders>
              <w:top w:val="none" w:color="FFFFFF" w:sz="0"/>
              <w:left w:val="single" w:color="E67E22" w:sz="16"/>
              <w:bottom w:val="none" w:color="FFFFFF" w:sz="0"/>
              <w:right w:val="none" w:color="FFFFFF" w:sz="0"/>
            </w:tcBorders>
            <w:shd w:fill="FDEBD0" w:val="clear"/>
            <w:tcMar>
              <w:top w:type="dxa" w:w="100"/>
              <w:left w:type="dxa" w:w="120"/>
              <w:bottom w:type="dxa" w:w="100"/>
              <w:right w:type="dxa" w:w="0"/>
            </w:tcMar>
          </w:tcPr>
          <w:p/>
        </w:tc>
        <w:tc>
          <w:tcPr>
            <w:tcW w:type="dxa" w:w="8826"/>
            <w:tcBorders>
              <w:top w:val="none" w:color="FFFFFF" w:sz="0"/>
              <w:left w:val="none" w:color="FFFFFF" w:sz="0"/>
              <w:bottom w:val="none" w:color="FFFFFF" w:sz="0"/>
              <w:right w:val="none" w:color="FFFFFF" w:sz="0"/>
            </w:tcBorders>
            <w:shd w:fill="FDEBD0" w:val="clear"/>
            <w:tcMar>
              <w:top w:type="dxa" w:w="120"/>
              <w:left w:type="dxa" w:w="160"/>
              <w:bottom w:type="dxa" w:w="120"/>
              <w:right w:type="dxa" w:w="160"/>
            </w:tcMar>
          </w:tcPr>
          <w:p>
            <w:pPr>
              <w:spacing w:after="60"/>
            </w:pPr>
            <w:r>
              <w:rPr>
                <w:rFonts w:ascii="Arial" w:cs="Arial" w:eastAsia="Arial" w:hAnsi="Arial"/>
                <w:color w:val="2C3E50"/>
                <w:sz w:val="20"/>
                <w:szCs w:val="20"/>
              </w:rPr>
              <w:t xml:space="preserve">Problème 1 : le disque du serveur est partagé par tous les clients sans isolation</w:t>
            </w:r>
          </w:p>
          <w:p>
            <w:pPr>
              <w:spacing w:after="60"/>
            </w:pPr>
            <w:r>
              <w:rPr>
                <w:rFonts w:ascii="Arial" w:cs="Arial" w:eastAsia="Arial" w:hAnsi="Arial"/>
                <w:color w:val="2C3E50"/>
                <w:sz w:val="20"/>
                <w:szCs w:val="20"/>
              </w:rPr>
              <w:t xml:space="preserve">Problème 2 : pas de réplication, une panne disque = perte de toutes les images</w:t>
            </w:r>
          </w:p>
          <w:p>
            <w:pPr>
              <w:spacing w:after="60"/>
            </w:pPr>
            <w:r>
              <w:rPr>
                <w:rFonts w:ascii="Arial" w:cs="Arial" w:eastAsia="Arial" w:hAnsi="Arial"/>
                <w:color w:val="2C3E50"/>
                <w:sz w:val="20"/>
                <w:szCs w:val="20"/>
              </w:rPr>
              <w:t xml:space="preserve">Problème 3 : les URLs statiques exposent le chemin réel du fichier sur le serveur</w:t>
            </w:r>
          </w:p>
          <w:p>
            <w:pPr>
              <w:spacing w:after="60"/>
            </w:pPr>
            <w:r>
              <w:rPr>
                <w:rFonts w:ascii="Arial" w:cs="Arial" w:eastAsia="Arial" w:hAnsi="Arial"/>
                <w:color w:val="2C3E50"/>
                <w:sz w:val="20"/>
                <w:szCs w:val="20"/>
              </w:rPr>
              <w:t xml:space="preserve">Problème 4 : impossible de scaler sur plusieurs instances (fichiers non partagés)</w:t>
            </w:r>
          </w:p>
        </w:tc>
      </w:tr>
    </w:tbl>
    <w:p>
      <w:pPr>
        <w:spacing w:before="200" w:after="0"/>
      </w:pPr>
    </w:p>
    <w:p>
      <w:pPr>
        <w:pStyle w:val="Heading2"/>
      </w:pPr>
      <w:r>
        <w:rPr>
          <w:rFonts w:ascii="Arial" w:cs="Arial" w:eastAsia="Arial" w:hAnsi="Arial"/>
          <w:b/>
          <w:bCs/>
          <w:color w:val="1A56A0"/>
          <w:sz w:val="28"/>
          <w:szCs w:val="28"/>
        </w:rPr>
        <w:t xml:space="preserve">5.2 Abstraction du stockage</w:t>
      </w:r>
    </w:p>
    <w:p>
      <w:pPr>
        <w:spacing w:after="160" w:before="80"/>
      </w:pPr>
      <w:r>
        <w:rPr>
          <w:rFonts w:ascii="Arial" w:cs="Arial" w:eastAsia="Arial" w:hAnsi="Arial"/>
          <w:color w:val="2C3E50"/>
          <w:sz w:val="22"/>
          <w:szCs w:val="22"/>
        </w:rPr>
        <w:t xml:space="preserve">Introduire une interface StorageBackend abstraite permettant de basculer entre stockage local et S3 sans modifier le reste du code. Le service storage.py existant devient un adaptateur parmi d’autres.</w:t>
      </w:r>
    </w:p>
    <w:p>
      <w:pPr>
        <w:spacing w:before="12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00"/>
        <w:gridCol w:w="2413"/>
        <w:gridCol w:w="2213"/>
        <w:gridCol w:w="2200"/>
      </w:tblGrid>
      <w:tr>
        <w:trPr>
          <w:tblHeader/>
        </w:trPr>
        <w:tc>
          <w:tcPr>
            <w:tcW w:type="dxa" w:w="2200"/>
            <w:tcBorders>
              <w:top w:val="single" w:color="3A7DBF" w:sz="4"/>
              <w:left w:val="single" w:color="3A7DBF" w:sz="4"/>
              <w:bottom w:val="single" w:color="3A7DBF" w:sz="4"/>
              <w:right w:val="single" w:color="3A7DBF" w:sz="4"/>
            </w:tcBorders>
            <w:shd w:fill="1A56A0" w:val="clear"/>
            <w:tcMar>
              <w:top w:type="dxa" w:w="100"/>
              <w:left w:type="dxa" w:w="120"/>
              <w:bottom w:type="dxa" w:w="100"/>
              <w:right w:type="dxa" w:w="120"/>
            </w:tcMar>
            <w:vAlign w:val="center"/>
          </w:tcPr>
          <w:p>
            <w:pPr>
              <w:jc w:val="center"/>
            </w:pPr>
            <w:r>
              <w:rPr>
                <w:rFonts w:ascii="Arial" w:cs="Arial" w:eastAsia="Arial" w:hAnsi="Arial"/>
                <w:b/>
                <w:bCs/>
                <w:color w:val="FFFFFF"/>
                <w:sz w:val="20"/>
                <w:szCs w:val="20"/>
              </w:rPr>
              <w:t xml:space="preserve">Backend</w:t>
            </w:r>
          </w:p>
        </w:tc>
        <w:tc>
          <w:tcPr>
            <w:tcW w:type="dxa" w:w="2413"/>
            <w:tcBorders>
              <w:top w:val="single" w:color="3A7DBF" w:sz="4"/>
              <w:left w:val="single" w:color="3A7DBF" w:sz="4"/>
              <w:bottom w:val="single" w:color="3A7DBF" w:sz="4"/>
              <w:right w:val="single" w:color="3A7DBF" w:sz="4"/>
            </w:tcBorders>
            <w:shd w:fill="1A56A0" w:val="clear"/>
            <w:tcMar>
              <w:top w:type="dxa" w:w="100"/>
              <w:left w:type="dxa" w:w="120"/>
              <w:bottom w:type="dxa" w:w="100"/>
              <w:right w:type="dxa" w:w="120"/>
            </w:tcMar>
            <w:vAlign w:val="center"/>
          </w:tcPr>
          <w:p>
            <w:pPr>
              <w:jc w:val="center"/>
            </w:pPr>
            <w:r>
              <w:rPr>
                <w:rFonts w:ascii="Arial" w:cs="Arial" w:eastAsia="Arial" w:hAnsi="Arial"/>
                <w:b/>
                <w:bCs/>
                <w:color w:val="FFFFFF"/>
                <w:sz w:val="20"/>
                <w:szCs w:val="20"/>
              </w:rPr>
              <w:t xml:space="preserve">Usage recommandé</w:t>
            </w:r>
          </w:p>
        </w:tc>
        <w:tc>
          <w:tcPr>
            <w:tcW w:type="dxa" w:w="2213"/>
            <w:tcBorders>
              <w:top w:val="single" w:color="3A7DBF" w:sz="4"/>
              <w:left w:val="single" w:color="3A7DBF" w:sz="4"/>
              <w:bottom w:val="single" w:color="3A7DBF" w:sz="4"/>
              <w:right w:val="single" w:color="3A7DBF" w:sz="4"/>
            </w:tcBorders>
            <w:shd w:fill="1A56A0" w:val="clear"/>
            <w:tcMar>
              <w:top w:type="dxa" w:w="100"/>
              <w:left w:type="dxa" w:w="120"/>
              <w:bottom w:type="dxa" w:w="100"/>
              <w:right w:type="dxa" w:w="120"/>
            </w:tcMar>
            <w:vAlign w:val="center"/>
          </w:tcPr>
          <w:p>
            <w:pPr>
              <w:jc w:val="center"/>
            </w:pPr>
            <w:r>
              <w:rPr>
                <w:rFonts w:ascii="Arial" w:cs="Arial" w:eastAsia="Arial" w:hAnsi="Arial"/>
                <w:b/>
                <w:bCs/>
                <w:color w:val="FFFFFF"/>
                <w:sz w:val="20"/>
                <w:szCs w:val="20"/>
              </w:rPr>
              <w:t xml:space="preserve">Librairie</w:t>
            </w:r>
          </w:p>
        </w:tc>
        <w:tc>
          <w:tcPr>
            <w:tcW w:type="dxa" w:w="2200"/>
            <w:tcBorders>
              <w:top w:val="single" w:color="3A7DBF" w:sz="4"/>
              <w:left w:val="single" w:color="3A7DBF" w:sz="4"/>
              <w:bottom w:val="single" w:color="3A7DBF" w:sz="4"/>
              <w:right w:val="single" w:color="3A7DBF" w:sz="4"/>
            </w:tcBorders>
            <w:shd w:fill="1A56A0" w:val="clear"/>
            <w:tcMar>
              <w:top w:type="dxa" w:w="100"/>
              <w:left w:type="dxa" w:w="120"/>
              <w:bottom w:type="dxa" w:w="100"/>
              <w:right w:type="dxa" w:w="120"/>
            </w:tcMar>
            <w:vAlign w:val="center"/>
          </w:tcPr>
          <w:p>
            <w:pPr>
              <w:jc w:val="center"/>
            </w:pPr>
            <w:r>
              <w:rPr>
                <w:rFonts w:ascii="Arial" w:cs="Arial" w:eastAsia="Arial" w:hAnsi="Arial"/>
                <w:b/>
                <w:bCs/>
                <w:color w:val="FFFFFF"/>
                <w:sz w:val="20"/>
                <w:szCs w:val="20"/>
              </w:rPr>
              <w:t xml:space="preserve">Coût</w:t>
            </w:r>
          </w:p>
        </w:tc>
      </w:tr>
      <w:tr>
        <w:tc>
          <w:tcPr>
            <w:tcW w:type="dxa" w:w="22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Local FileSystem</w:t>
            </w:r>
          </w:p>
        </w:tc>
        <w:tc>
          <w:tcPr>
            <w:tcW w:type="dxa" w:w="2413"/>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Développement, serveur unique</w:t>
            </w:r>
          </w:p>
        </w:tc>
        <w:tc>
          <w:tcPr>
            <w:tcW w:type="dxa" w:w="2213"/>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aiofiles (déjà présent)</w:t>
            </w:r>
          </w:p>
        </w:tc>
        <w:tc>
          <w:tcPr>
            <w:tcW w:type="dxa" w:w="22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1E8449"/>
                <w:sz w:val="19"/>
                <w:szCs w:val="19"/>
              </w:rPr>
              <w:t xml:space="preserve">Gratuit</w:t>
            </w:r>
          </w:p>
        </w:tc>
      </w:tr>
      <w:tr>
        <w:tc>
          <w:tcPr>
            <w:tcW w:type="dxa" w:w="22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MinIO (self-hosted)</w:t>
            </w:r>
          </w:p>
        </w:tc>
        <w:tc>
          <w:tcPr>
            <w:tcW w:type="dxa" w:w="2413"/>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Production on-premise</w:t>
            </w:r>
          </w:p>
        </w:tc>
        <w:tc>
          <w:tcPr>
            <w:tcW w:type="dxa" w:w="2213"/>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boto3 / aioboto3</w:t>
            </w:r>
          </w:p>
        </w:tc>
        <w:tc>
          <w:tcPr>
            <w:tcW w:type="dxa" w:w="2200"/>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Infrastructure</w:t>
            </w:r>
          </w:p>
        </w:tc>
      </w:tr>
      <w:tr>
        <w:tc>
          <w:tcPr>
            <w:tcW w:type="dxa" w:w="22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AWS S3</w:t>
            </w:r>
          </w:p>
        </w:tc>
        <w:tc>
          <w:tcPr>
            <w:tcW w:type="dxa" w:w="2413"/>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Production cloud</w:t>
            </w:r>
          </w:p>
        </w:tc>
        <w:tc>
          <w:tcPr>
            <w:tcW w:type="dxa" w:w="2213"/>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aioboto3</w:t>
            </w:r>
          </w:p>
        </w:tc>
        <w:tc>
          <w:tcPr>
            <w:tcW w:type="dxa" w:w="22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~0.023$/GB/mois</w:t>
            </w:r>
          </w:p>
        </w:tc>
      </w:tr>
      <w:tr>
        <w:tc>
          <w:tcPr>
            <w:tcW w:type="dxa" w:w="22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Cloudflare R2</w:t>
            </w:r>
          </w:p>
        </w:tc>
        <w:tc>
          <w:tcPr>
            <w:tcW w:type="dxa" w:w="2413"/>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Production cloud économique</w:t>
            </w:r>
          </w:p>
        </w:tc>
        <w:tc>
          <w:tcPr>
            <w:tcW w:type="dxa" w:w="2213"/>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aioboto3 (compatible S3)</w:t>
            </w:r>
          </w:p>
        </w:tc>
        <w:tc>
          <w:tcPr>
            <w:tcW w:type="dxa" w:w="2200"/>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1E8449"/>
                <w:sz w:val="19"/>
                <w:szCs w:val="19"/>
              </w:rPr>
              <w:t xml:space="preserve">0$/egress</w:t>
            </w:r>
          </w:p>
        </w:tc>
      </w:tr>
    </w:tbl>
    <w:p>
      <w:pPr>
        <w:spacing w:before="200" w:after="0"/>
      </w:pPr>
    </w:p>
    <w:p>
      <w:pPr>
        <w:pStyle w:val="Heading2"/>
      </w:pPr>
      <w:r>
        <w:rPr>
          <w:rFonts w:ascii="Arial" w:cs="Arial" w:eastAsia="Arial" w:hAnsi="Arial"/>
          <w:b/>
          <w:bCs/>
          <w:color w:val="1A56A0"/>
          <w:sz w:val="28"/>
          <w:szCs w:val="28"/>
        </w:rPr>
        <w:t xml:space="preserve">5.3 URLs signées et sécurité d’accès</w:t>
      </w:r>
    </w:p>
    <w:p>
      <w:pPr>
        <w:spacing w:after="160" w:before="80"/>
      </w:pPr>
      <w:r>
        <w:rPr>
          <w:rFonts w:ascii="Arial" w:cs="Arial" w:eastAsia="Arial" w:hAnsi="Arial"/>
          <w:color w:val="2C3E50"/>
          <w:sz w:val="22"/>
          <w:szCs w:val="22"/>
        </w:rPr>
        <w:t xml:space="preserve">Remplacer les routes /static/ par des URLs signées à durée limitée. Le client reçoit une URL temporaire valide X minutes. Cela garantit qu’aucune image n’est accessible sans authentification préalable et que les URLs partagées expirent automatiquement.</w:t>
      </w:r>
    </w:p>
    <w:p>
      <w:pPr>
        <w:spacing w:before="12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00"/>
        <w:gridCol w:w="8826"/>
      </w:tblGrid>
      <w:tr>
        <w:tc>
          <w:tcPr>
            <w:tcW w:type="dxa" w:w="200"/>
            <w:tcBorders>
              <w:top w:val="none" w:color="FFFFFF" w:sz="0"/>
              <w:left w:val="single" w:color="1A56A0" w:sz="16"/>
              <w:bottom w:val="none" w:color="FFFFFF" w:sz="0"/>
              <w:right w:val="none" w:color="FFFFFF" w:sz="0"/>
            </w:tcBorders>
            <w:shd w:fill="EBF5FB" w:val="clear"/>
            <w:tcMar>
              <w:top w:type="dxa" w:w="100"/>
              <w:left w:type="dxa" w:w="120"/>
              <w:bottom w:type="dxa" w:w="100"/>
              <w:right w:type="dxa" w:w="0"/>
            </w:tcMar>
          </w:tcPr>
          <w:p/>
        </w:tc>
        <w:tc>
          <w:tcPr>
            <w:tcW w:type="dxa" w:w="8826"/>
            <w:tcBorders>
              <w:top w:val="none" w:color="FFFFFF" w:sz="0"/>
              <w:left w:val="none" w:color="FFFFFF" w:sz="0"/>
              <w:bottom w:val="none" w:color="FFFFFF" w:sz="0"/>
              <w:right w:val="none" w:color="FFFFFF" w:sz="0"/>
            </w:tcBorders>
            <w:shd w:fill="EBF5FB" w:val="clear"/>
            <w:tcMar>
              <w:top w:type="dxa" w:w="120"/>
              <w:left w:type="dxa" w:w="160"/>
              <w:bottom w:type="dxa" w:w="120"/>
              <w:right w:type="dxa" w:w="160"/>
            </w:tcMar>
          </w:tcPr>
          <w:p>
            <w:pPr>
              <w:spacing w:after="60"/>
            </w:pPr>
            <w:r>
              <w:rPr>
                <w:rFonts w:ascii="Arial" w:cs="Arial" w:eastAsia="Arial" w:hAnsi="Arial"/>
                <w:color w:val="2C3E50"/>
                <w:sz w:val="20"/>
                <w:szCs w:val="20"/>
              </w:rPr>
              <w:t xml:space="preserve">Endpoint : GET /images/{id}/download-url  → retourne une URL signée valide 15 minutes</w:t>
            </w:r>
          </w:p>
          <w:p>
            <w:pPr>
              <w:spacing w:after="60"/>
            </w:pPr>
            <w:r>
              <w:rPr>
                <w:rFonts w:ascii="Arial" w:cs="Arial" w:eastAsia="Arial" w:hAnsi="Arial"/>
                <w:color w:val="2C3E50"/>
                <w:sz w:val="20"/>
                <w:szCs w:val="20"/>
              </w:rPr>
              <w:t xml:space="preserve">Paramètre optionnel : expires_in (en secondes, max configurable par plan)</w:t>
            </w:r>
          </w:p>
          <w:p>
            <w:pPr>
              <w:spacing w:after="60"/>
            </w:pPr>
            <w:r>
              <w:rPr>
                <w:rFonts w:ascii="Arial" w:cs="Arial" w:eastAsia="Arial" w:hAnsi="Arial"/>
                <w:color w:val="2C3E50"/>
                <w:sz w:val="20"/>
                <w:szCs w:val="20"/>
              </w:rPr>
              <w:t xml:space="preserve">Pour S3/R2 : URL pré-signée native. Pour stockage local : token HMAC signé par le serveur</w:t>
            </w:r>
          </w:p>
          <w:p>
            <w:pPr>
              <w:spacing w:after="60"/>
            </w:pPr>
            <w:r>
              <w:rPr>
                <w:rFonts w:ascii="Arial" w:cs="Arial" w:eastAsia="Arial" w:hAnsi="Arial"/>
                <w:color w:val="2C3E50"/>
                <w:sz w:val="20"/>
                <w:szCs w:val="20"/>
              </w:rPr>
              <w:t xml:space="preserve">Thumbnail : même mécanisme avec GET /images/{id}/thumbnail-url</w:t>
            </w:r>
          </w:p>
        </w:tc>
      </w:tr>
    </w:tbl>
    <w:p>
      <w:r>
        <w:br w:type="page"/>
      </w:r>
    </w:p>
    <w:p>
      <w:pPr>
        <w:pStyle w:val="Heading1"/>
      </w:pPr>
      <w:r>
        <w:rPr>
          <w:rFonts w:ascii="Arial" w:cs="Arial" w:eastAsia="Arial" w:hAnsi="Arial"/>
          <w:b/>
          <w:bCs/>
          <w:color w:val="1A56A0"/>
          <w:sz w:val="36"/>
          <w:szCs w:val="36"/>
        </w:rPr>
        <w:t xml:space="preserve">6. Axe 5 — WebSockets et notifications en temps réel</w:t>
      </w:r>
    </w:p>
    <w:p>
      <w:pPr>
        <w:pBdr>
          <w:bottom w:val="single" w:color="1A56A0" w:sz="8" w:space="1"/>
        </w:pBdr>
        <w:spacing w:after="200"/>
      </w:pPr>
    </w:p>
    <w:p>
      <w:pPr>
        <w:pStyle w:val="Heading2"/>
      </w:pPr>
      <w:r>
        <w:rPr>
          <w:rFonts w:ascii="Arial" w:cs="Arial" w:eastAsia="Arial" w:hAnsi="Arial"/>
          <w:b/>
          <w:bCs/>
          <w:color w:val="1A56A0"/>
          <w:sz w:val="28"/>
          <w:szCs w:val="28"/>
        </w:rPr>
        <w:t xml:space="preserve">6.1 Problématique du polling</w:t>
      </w:r>
    </w:p>
    <w:p>
      <w:pPr>
        <w:spacing w:after="160" w:before="80"/>
      </w:pPr>
      <w:r>
        <w:rPr>
          <w:rFonts w:ascii="Arial" w:cs="Arial" w:eastAsia="Arial" w:hAnsi="Arial"/>
          <w:color w:val="2C3E50"/>
          <w:sz w:val="22"/>
          <w:szCs w:val="22"/>
        </w:rPr>
        <w:t xml:space="preserve">Actuellement, les clients doivent interroger GET /images/{id}/status régulièrement pour connaître l’avancement du pipeline. Cette approche génère du trafic inutile et ajoute de la latence percéptible.</w:t>
      </w:r>
    </w:p>
    <w:p>
      <w:pPr>
        <w:spacing w:before="200" w:after="0"/>
      </w:pPr>
    </w:p>
    <w:p>
      <w:pPr>
        <w:pStyle w:val="Heading2"/>
      </w:pPr>
      <w:r>
        <w:rPr>
          <w:rFonts w:ascii="Arial" w:cs="Arial" w:eastAsia="Arial" w:hAnsi="Arial"/>
          <w:b/>
          <w:bCs/>
          <w:color w:val="1A56A0"/>
          <w:sz w:val="28"/>
          <w:szCs w:val="28"/>
        </w:rPr>
        <w:t xml:space="preserve">6.2 Solution — WebSocket par session d’upload</w:t>
      </w:r>
    </w:p>
    <w:p>
      <w:pPr>
        <w:spacing w:after="160" w:before="80"/>
      </w:pPr>
      <w:r>
        <w:rPr>
          <w:rFonts w:ascii="Arial" w:cs="Arial" w:eastAsia="Arial" w:hAnsi="Arial"/>
          <w:color w:val="2C3E50"/>
          <w:sz w:val="22"/>
          <w:szCs w:val="22"/>
        </w:rPr>
        <w:t xml:space="preserve">Proposer un endpoint WebSocket que le client connecte après l’upload. Le serveur pousse des événements au fur et à mesure de l’avancement du pipeline. Cela élimine le polling et permet des interfaces ultra-réactives.</w:t>
      </w:r>
    </w:p>
    <w:p>
      <w:pPr>
        <w:spacing w:before="12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400"/>
        <w:gridCol w:w="6626"/>
      </w:tblGrid>
      <w:tr>
        <w:trPr>
          <w:tblHeader/>
        </w:trPr>
        <w:tc>
          <w:tcPr>
            <w:tcW w:type="dxa" w:w="2400"/>
            <w:tcBorders>
              <w:top w:val="single" w:color="3A7DBF" w:sz="4"/>
              <w:left w:val="single" w:color="3A7DBF" w:sz="4"/>
              <w:bottom w:val="single" w:color="3A7DBF" w:sz="4"/>
              <w:right w:val="single" w:color="3A7DBF" w:sz="4"/>
            </w:tcBorders>
            <w:shd w:fill="1A56A0" w:val="clear"/>
            <w:tcMar>
              <w:top w:type="dxa" w:w="100"/>
              <w:left w:type="dxa" w:w="120"/>
              <w:bottom w:type="dxa" w:w="100"/>
              <w:right w:type="dxa" w:w="120"/>
            </w:tcMar>
            <w:vAlign w:val="center"/>
          </w:tcPr>
          <w:p>
            <w:pPr>
              <w:jc w:val="center"/>
            </w:pPr>
            <w:r>
              <w:rPr>
                <w:rFonts w:ascii="Arial" w:cs="Arial" w:eastAsia="Arial" w:hAnsi="Arial"/>
                <w:b/>
                <w:bCs/>
                <w:color w:val="FFFFFF"/>
                <w:sz w:val="20"/>
                <w:szCs w:val="20"/>
              </w:rPr>
              <w:t xml:space="preserve">Événement WebSocket</w:t>
            </w:r>
          </w:p>
        </w:tc>
        <w:tc>
          <w:tcPr>
            <w:tcW w:type="dxa" w:w="6626"/>
            <w:tcBorders>
              <w:top w:val="single" w:color="3A7DBF" w:sz="4"/>
              <w:left w:val="single" w:color="3A7DBF" w:sz="4"/>
              <w:bottom w:val="single" w:color="3A7DBF" w:sz="4"/>
              <w:right w:val="single" w:color="3A7DBF" w:sz="4"/>
            </w:tcBorders>
            <w:shd w:fill="1A56A0" w:val="clear"/>
            <w:tcMar>
              <w:top w:type="dxa" w:w="100"/>
              <w:left w:type="dxa" w:w="120"/>
              <w:bottom w:type="dxa" w:w="100"/>
              <w:right w:type="dxa" w:w="120"/>
            </w:tcMar>
            <w:vAlign w:val="center"/>
          </w:tcPr>
          <w:p>
            <w:pPr>
              <w:jc w:val="center"/>
            </w:pPr>
            <w:r>
              <w:rPr>
                <w:rFonts w:ascii="Arial" w:cs="Arial" w:eastAsia="Arial" w:hAnsi="Arial"/>
                <w:b/>
                <w:bCs/>
                <w:color w:val="FFFFFF"/>
                <w:sz w:val="20"/>
                <w:szCs w:val="20"/>
              </w:rPr>
              <w:t xml:space="preserve">Payload</w:t>
            </w:r>
          </w:p>
        </w:tc>
      </w:tr>
      <w:tr>
        <w:tc>
          <w:tcPr>
            <w:tcW w:type="dxa" w:w="24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pipeline.started</w:t>
            </w:r>
          </w:p>
        </w:tc>
        <w:tc>
          <w:tcPr>
            <w:tcW w:type="dxa" w:w="6626"/>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iCs/>
                <w:color w:val="2C3E50"/>
                <w:sz w:val="19"/>
                <w:szCs w:val="19"/>
              </w:rPr>
              <w:t xml:space="preserve">{ "image_id": 42, "steps": ["exif", "ocr", "ai"] }</w:t>
            </w:r>
          </w:p>
        </w:tc>
      </w:tr>
      <w:tr>
        <w:tc>
          <w:tcPr>
            <w:tcW w:type="dxa" w:w="24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step.completed</w:t>
            </w:r>
          </w:p>
        </w:tc>
        <w:tc>
          <w:tcPr>
            <w:tcW w:type="dxa" w:w="6626"/>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iCs/>
                <w:color w:val="2C3E50"/>
                <w:sz w:val="19"/>
                <w:szCs w:val="19"/>
              </w:rPr>
              <w:t xml:space="preserve">{ "step": "exif", "duration_ms": 45, "data": { "camera": "Canon EOS R5" } }</w:t>
            </w:r>
          </w:p>
        </w:tc>
      </w:tr>
      <w:tr>
        <w:tc>
          <w:tcPr>
            <w:tcW w:type="dxa" w:w="24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step.completed</w:t>
            </w:r>
          </w:p>
        </w:tc>
        <w:tc>
          <w:tcPr>
            <w:tcW w:type="dxa" w:w="6626"/>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iCs/>
                <w:color w:val="2C3E50"/>
                <w:sz w:val="19"/>
                <w:szCs w:val="19"/>
              </w:rPr>
              <w:t xml:space="preserve">{ "step": "ocr", "duration_ms": 820, "data": { "has_text": true, "preview": "Café de Flore..." } }</w:t>
            </w:r>
          </w:p>
        </w:tc>
      </w:tr>
      <w:tr>
        <w:tc>
          <w:tcPr>
            <w:tcW w:type="dxa" w:w="24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step.completed</w:t>
            </w:r>
          </w:p>
        </w:tc>
        <w:tc>
          <w:tcPr>
            <w:tcW w:type="dxa" w:w="6626"/>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iCs/>
                <w:color w:val="2C3E50"/>
                <w:sz w:val="19"/>
                <w:szCs w:val="19"/>
              </w:rPr>
              <w:t xml:space="preserve">{ "step": "ai", "duration_ms": 3200, "data": { "tags": ["café", "paris"], "confidence": 0.97 } }</w:t>
            </w:r>
          </w:p>
        </w:tc>
      </w:tr>
      <w:tr>
        <w:tc>
          <w:tcPr>
            <w:tcW w:type="dxa" w:w="24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pipeline.done</w:t>
            </w:r>
          </w:p>
        </w:tc>
        <w:tc>
          <w:tcPr>
            <w:tcW w:type="dxa" w:w="6626"/>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iCs/>
                <w:color w:val="2C3E50"/>
                <w:sz w:val="19"/>
                <w:szCs w:val="19"/>
              </w:rPr>
              <w:t xml:space="preserve">{ "image_id": 42, "total_duration_ms": 4100, "status": "done" }</w:t>
            </w:r>
          </w:p>
        </w:tc>
      </w:tr>
      <w:tr>
        <w:tc>
          <w:tcPr>
            <w:tcW w:type="dxa" w:w="24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pipeline.error</w:t>
            </w:r>
          </w:p>
        </w:tc>
        <w:tc>
          <w:tcPr>
            <w:tcW w:type="dxa" w:w="6626"/>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iCs/>
                <w:color w:val="2C3E50"/>
                <w:sz w:val="19"/>
                <w:szCs w:val="19"/>
              </w:rPr>
              <w:t xml:space="preserve">{ "step": "ai", "error": "API timeout", "retry": 1 }</w:t>
            </w:r>
          </w:p>
        </w:tc>
      </w:tr>
    </w:tbl>
    <w:p>
      <w:pPr>
        <w:spacing w:before="16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00"/>
        <w:gridCol w:w="8826"/>
      </w:tblGrid>
      <w:tr>
        <w:tc>
          <w:tcPr>
            <w:tcW w:type="dxa" w:w="200"/>
            <w:tcBorders>
              <w:top w:val="none" w:color="FFFFFF" w:sz="0"/>
              <w:left w:val="single" w:color="1A56A0" w:sz="16"/>
              <w:bottom w:val="none" w:color="FFFFFF" w:sz="0"/>
              <w:right w:val="none" w:color="FFFFFF" w:sz="0"/>
            </w:tcBorders>
            <w:shd w:fill="EBF5FB" w:val="clear"/>
            <w:tcMar>
              <w:top w:type="dxa" w:w="100"/>
              <w:left w:type="dxa" w:w="120"/>
              <w:bottom w:type="dxa" w:w="100"/>
              <w:right w:type="dxa" w:w="0"/>
            </w:tcMar>
          </w:tcPr>
          <w:p/>
        </w:tc>
        <w:tc>
          <w:tcPr>
            <w:tcW w:type="dxa" w:w="8826"/>
            <w:tcBorders>
              <w:top w:val="none" w:color="FFFFFF" w:sz="0"/>
              <w:left w:val="none" w:color="FFFFFF" w:sz="0"/>
              <w:bottom w:val="none" w:color="FFFFFF" w:sz="0"/>
              <w:right w:val="none" w:color="FFFFFF" w:sz="0"/>
            </w:tcBorders>
            <w:shd w:fill="EBF5FB" w:val="clear"/>
            <w:tcMar>
              <w:top w:type="dxa" w:w="120"/>
              <w:left w:type="dxa" w:w="160"/>
              <w:bottom w:type="dxa" w:w="120"/>
              <w:right w:type="dxa" w:w="160"/>
            </w:tcMar>
          </w:tcPr>
          <w:p>
            <w:pPr>
              <w:spacing w:after="60"/>
            </w:pPr>
            <w:r>
              <w:rPr>
                <w:rFonts w:ascii="Arial" w:cs="Arial" w:eastAsia="Arial" w:hAnsi="Arial"/>
                <w:color w:val="2C3E50"/>
                <w:sz w:val="20"/>
                <w:szCs w:val="20"/>
              </w:rPr>
              <w:t xml:space="preserve">Endpoint : WS /ws/pipeline/{image_id}?token=&lt;api_key&gt;</w:t>
            </w:r>
          </w:p>
          <w:p>
            <w:pPr>
              <w:spacing w:after="60"/>
            </w:pPr>
            <w:r>
              <w:rPr>
                <w:rFonts w:ascii="Arial" w:cs="Arial" w:eastAsia="Arial" w:hAnsi="Arial"/>
                <w:color w:val="2C3E50"/>
                <w:sz w:val="20"/>
                <w:szCs w:val="20"/>
              </w:rPr>
              <w:t xml:space="preserve">Fallback automatique : si WebSocket non disponible, le client retombe sur le polling REST</w:t>
            </w:r>
          </w:p>
          <w:p>
            <w:pPr>
              <w:spacing w:after="60"/>
            </w:pPr>
            <w:r>
              <w:rPr>
                <w:rFonts w:ascii="Arial" w:cs="Arial" w:eastAsia="Arial" w:hAnsi="Arial"/>
                <w:color w:val="2C3E50"/>
                <w:sz w:val="20"/>
                <w:szCs w:val="20"/>
              </w:rPr>
              <w:t xml:space="preserve">Lib : FastAPI supporte nativement les WebSockets via websockets</w:t>
            </w:r>
          </w:p>
          <w:p>
            <w:pPr>
              <w:spacing w:after="60"/>
            </w:pPr>
            <w:r>
              <w:rPr>
                <w:rFonts w:ascii="Arial" w:cs="Arial" w:eastAsia="Arial" w:hAnsi="Arial"/>
                <w:color w:val="2C3E50"/>
                <w:sz w:val="20"/>
                <w:szCs w:val="20"/>
              </w:rPr>
              <w:t xml:space="preserve">Gestion de la déconnexion : événements bufferisés 60s si le client se reconnecte</w:t>
            </w:r>
          </w:p>
        </w:tc>
      </w:tr>
    </w:tbl>
    <w:p>
      <w:r>
        <w:br w:type="page"/>
      </w:r>
    </w:p>
    <w:p>
      <w:pPr>
        <w:pStyle w:val="Heading1"/>
      </w:pPr>
      <w:r>
        <w:rPr>
          <w:rFonts w:ascii="Arial" w:cs="Arial" w:eastAsia="Arial" w:hAnsi="Arial"/>
          <w:b/>
          <w:bCs/>
          <w:color w:val="1A56A0"/>
          <w:sz w:val="36"/>
          <w:szCs w:val="36"/>
        </w:rPr>
        <w:t xml:space="preserve">7. Axe 6 — Observabilité et monitoring</w:t>
      </w:r>
    </w:p>
    <w:p>
      <w:pPr>
        <w:pBdr>
          <w:bottom w:val="single" w:color="1A56A0" w:sz="8" w:space="1"/>
        </w:pBdr>
        <w:spacing w:after="200"/>
      </w:pPr>
    </w:p>
    <w:p>
      <w:pPr>
        <w:pStyle w:val="Heading2"/>
      </w:pPr>
      <w:r>
        <w:rPr>
          <w:rFonts w:ascii="Arial" w:cs="Arial" w:eastAsia="Arial" w:hAnsi="Arial"/>
          <w:b/>
          <w:bCs/>
          <w:color w:val="1A56A0"/>
          <w:sz w:val="28"/>
          <w:szCs w:val="28"/>
        </w:rPr>
        <w:t xml:space="preserve">7.1 Logs structurés</w:t>
      </w:r>
    </w:p>
    <w:p>
      <w:pPr>
        <w:spacing w:after="160" w:before="80"/>
      </w:pPr>
      <w:r>
        <w:rPr>
          <w:rFonts w:ascii="Arial" w:cs="Arial" w:eastAsia="Arial" w:hAnsi="Arial"/>
          <w:color w:val="2C3E50"/>
          <w:sz w:val="22"/>
          <w:szCs w:val="22"/>
        </w:rPr>
        <w:t xml:space="preserve">Remplacer les print() du code actuel par des logs structurés en JSON. Chaque log doit contenir au minimum : timestamp, level, client_id, image_id (si pertinent), action, duration_ms. Cela permet d’indexer et de chercher efficacement dans un système de centralisation de logs.</w:t>
      </w:r>
    </w:p>
    <w:p>
      <w:pPr>
        <w:spacing w:before="12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00"/>
        <w:gridCol w:w="8826"/>
      </w:tblGrid>
      <w:tr>
        <w:tc>
          <w:tcPr>
            <w:tcW w:type="dxa" w:w="200"/>
            <w:tcBorders>
              <w:top w:val="none" w:color="FFFFFF" w:sz="0"/>
              <w:left w:val="single" w:color="1A56A0" w:sz="16"/>
              <w:bottom w:val="none" w:color="FFFFFF" w:sz="0"/>
              <w:right w:val="none" w:color="FFFFFF" w:sz="0"/>
            </w:tcBorders>
            <w:shd w:fill="EBF5FB" w:val="clear"/>
            <w:tcMar>
              <w:top w:type="dxa" w:w="100"/>
              <w:left w:type="dxa" w:w="120"/>
              <w:bottom w:type="dxa" w:w="100"/>
              <w:right w:type="dxa" w:w="0"/>
            </w:tcMar>
          </w:tcPr>
          <w:p/>
        </w:tc>
        <w:tc>
          <w:tcPr>
            <w:tcW w:type="dxa" w:w="8826"/>
            <w:tcBorders>
              <w:top w:val="none" w:color="FFFFFF" w:sz="0"/>
              <w:left w:val="none" w:color="FFFFFF" w:sz="0"/>
              <w:bottom w:val="none" w:color="FFFFFF" w:sz="0"/>
              <w:right w:val="none" w:color="FFFFFF" w:sz="0"/>
            </w:tcBorders>
            <w:shd w:fill="EBF5FB" w:val="clear"/>
            <w:tcMar>
              <w:top w:type="dxa" w:w="120"/>
              <w:left w:type="dxa" w:w="160"/>
              <w:bottom w:type="dxa" w:w="120"/>
              <w:right w:type="dxa" w:w="160"/>
            </w:tcMar>
          </w:tcPr>
          <w:p>
            <w:pPr>
              <w:spacing w:after="60"/>
            </w:pPr>
            <w:r>
              <w:rPr>
                <w:rFonts w:ascii="Arial" w:cs="Arial" w:eastAsia="Arial" w:hAnsi="Arial"/>
                <w:color w:val="2C3E50"/>
                <w:sz w:val="20"/>
                <w:szCs w:val="20"/>
              </w:rPr>
              <w:t xml:space="preserve">Librairie recommandée : structlog (compatible FastAPI, format JSON natif)</w:t>
            </w:r>
          </w:p>
          <w:p>
            <w:pPr>
              <w:spacing w:after="60"/>
            </w:pPr>
            <w:r>
              <w:rPr>
                <w:rFonts w:ascii="Arial" w:cs="Arial" w:eastAsia="Arial" w:hAnsi="Arial"/>
                <w:color w:val="2C3E50"/>
                <w:sz w:val="20"/>
                <w:szCs w:val="20"/>
              </w:rPr>
              <w:t xml:space="preserve">Middleware de logs : enregistrer chaque requête HTTP avec méthode, path, status, duration, client_id</w:t>
            </w:r>
          </w:p>
          <w:p>
            <w:pPr>
              <w:spacing w:after="60"/>
            </w:pPr>
            <w:r>
              <w:rPr>
                <w:rFonts w:ascii="Arial" w:cs="Arial" w:eastAsia="Arial" w:hAnsi="Arial"/>
                <w:color w:val="2C3E50"/>
                <w:sz w:val="20"/>
                <w:szCs w:val="20"/>
              </w:rPr>
              <w:t xml:space="preserve">Niveaux : DEBUG (dév), INFO (prod normal), WARNING (anomalie récupérable), ERROR (action requise)</w:t>
            </w:r>
          </w:p>
          <w:p>
            <w:pPr>
              <w:spacing w:after="60"/>
            </w:pPr>
            <w:r>
              <w:rPr>
                <w:rFonts w:ascii="Arial" w:cs="Arial" w:eastAsia="Arial" w:hAnsi="Arial"/>
                <w:color w:val="2C3E50"/>
                <w:sz w:val="20"/>
                <w:szCs w:val="20"/>
              </w:rPr>
              <w:t xml:space="preserve">Exportation vers Loki, Datadog, CloudWatch selon infrastructure cible</w:t>
            </w:r>
          </w:p>
        </w:tc>
      </w:tr>
    </w:tbl>
    <w:p>
      <w:pPr>
        <w:spacing w:before="200" w:after="0"/>
      </w:pPr>
    </w:p>
    <w:p>
      <w:pPr>
        <w:pStyle w:val="Heading2"/>
      </w:pPr>
      <w:r>
        <w:rPr>
          <w:rFonts w:ascii="Arial" w:cs="Arial" w:eastAsia="Arial" w:hAnsi="Arial"/>
          <w:b/>
          <w:bCs/>
          <w:color w:val="1A56A0"/>
          <w:sz w:val="28"/>
          <w:szCs w:val="28"/>
        </w:rPr>
        <w:t xml:space="preserve">7.2 Métriques applicatives</w:t>
      </w:r>
    </w:p>
    <w:p>
      <w:pPr>
        <w:spacing w:after="160" w:before="80"/>
      </w:pPr>
      <w:r>
        <w:rPr>
          <w:rFonts w:ascii="Arial" w:cs="Arial" w:eastAsia="Arial" w:hAnsi="Arial"/>
          <w:color w:val="2C3E50"/>
          <w:sz w:val="22"/>
          <w:szCs w:val="22"/>
        </w:rPr>
        <w:t xml:space="preserve">Exposer des métriques Prometheus sur /metrics pour un monitoring en temps réel. Ces métriques permettent de détecter une dégradation du service avant qu’elle soit percéptible par les clients.</w:t>
      </w:r>
    </w:p>
    <w:p>
      <w:pPr>
        <w:spacing w:before="12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600"/>
        <w:gridCol w:w="2413"/>
        <w:gridCol w:w="3013"/>
      </w:tblGrid>
      <w:tr>
        <w:trPr>
          <w:tblHeader/>
        </w:trPr>
        <w:tc>
          <w:tcPr>
            <w:tcW w:type="dxa" w:w="3600"/>
            <w:tcBorders>
              <w:top w:val="single" w:color="3A7DBF" w:sz="4"/>
              <w:left w:val="single" w:color="3A7DBF" w:sz="4"/>
              <w:bottom w:val="single" w:color="3A7DBF" w:sz="4"/>
              <w:right w:val="single" w:color="3A7DBF" w:sz="4"/>
            </w:tcBorders>
            <w:shd w:fill="1A56A0" w:val="clear"/>
            <w:tcMar>
              <w:top w:type="dxa" w:w="100"/>
              <w:left w:type="dxa" w:w="120"/>
              <w:bottom w:type="dxa" w:w="100"/>
              <w:right w:type="dxa" w:w="120"/>
            </w:tcMar>
            <w:vAlign w:val="center"/>
          </w:tcPr>
          <w:p>
            <w:pPr>
              <w:jc w:val="center"/>
            </w:pPr>
            <w:r>
              <w:rPr>
                <w:rFonts w:ascii="Arial" w:cs="Arial" w:eastAsia="Arial" w:hAnsi="Arial"/>
                <w:b/>
                <w:bCs/>
                <w:color w:val="FFFFFF"/>
                <w:sz w:val="20"/>
                <w:szCs w:val="20"/>
              </w:rPr>
              <w:t xml:space="preserve">Métrique</w:t>
            </w:r>
          </w:p>
        </w:tc>
        <w:tc>
          <w:tcPr>
            <w:tcW w:type="dxa" w:w="2413"/>
            <w:tcBorders>
              <w:top w:val="single" w:color="3A7DBF" w:sz="4"/>
              <w:left w:val="single" w:color="3A7DBF" w:sz="4"/>
              <w:bottom w:val="single" w:color="3A7DBF" w:sz="4"/>
              <w:right w:val="single" w:color="3A7DBF" w:sz="4"/>
            </w:tcBorders>
            <w:shd w:fill="1A56A0" w:val="clear"/>
            <w:tcMar>
              <w:top w:type="dxa" w:w="100"/>
              <w:left w:type="dxa" w:w="120"/>
              <w:bottom w:type="dxa" w:w="100"/>
              <w:right w:type="dxa" w:w="120"/>
            </w:tcMar>
            <w:vAlign w:val="center"/>
          </w:tcPr>
          <w:p>
            <w:pPr>
              <w:jc w:val="center"/>
            </w:pPr>
            <w:r>
              <w:rPr>
                <w:rFonts w:ascii="Arial" w:cs="Arial" w:eastAsia="Arial" w:hAnsi="Arial"/>
                <w:b/>
                <w:bCs/>
                <w:color w:val="FFFFFF"/>
                <w:sz w:val="20"/>
                <w:szCs w:val="20"/>
              </w:rPr>
              <w:t xml:space="preserve">Type</w:t>
            </w:r>
          </w:p>
        </w:tc>
        <w:tc>
          <w:tcPr>
            <w:tcW w:type="dxa" w:w="3013"/>
            <w:tcBorders>
              <w:top w:val="single" w:color="3A7DBF" w:sz="4"/>
              <w:left w:val="single" w:color="3A7DBF" w:sz="4"/>
              <w:bottom w:val="single" w:color="3A7DBF" w:sz="4"/>
              <w:right w:val="single" w:color="3A7DBF" w:sz="4"/>
            </w:tcBorders>
            <w:shd w:fill="1A56A0" w:val="clear"/>
            <w:tcMar>
              <w:top w:type="dxa" w:w="100"/>
              <w:left w:type="dxa" w:w="120"/>
              <w:bottom w:type="dxa" w:w="100"/>
              <w:right w:type="dxa" w:w="120"/>
            </w:tcMar>
            <w:vAlign w:val="center"/>
          </w:tcPr>
          <w:p>
            <w:pPr>
              <w:jc w:val="center"/>
            </w:pPr>
            <w:r>
              <w:rPr>
                <w:rFonts w:ascii="Arial" w:cs="Arial" w:eastAsia="Arial" w:hAnsi="Arial"/>
                <w:b/>
                <w:bCs/>
                <w:color w:val="FFFFFF"/>
                <w:sz w:val="20"/>
                <w:szCs w:val="20"/>
              </w:rPr>
              <w:t xml:space="preserve">Utilité</w:t>
            </w:r>
          </w:p>
        </w:tc>
      </w:tr>
      <w:tr>
        <w:tc>
          <w:tcPr>
            <w:tcW w:type="dxa" w:w="36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iCs/>
                <w:color w:val="2C3E50"/>
                <w:sz w:val="19"/>
                <w:szCs w:val="19"/>
              </w:rPr>
              <w:t xml:space="preserve">hub_images_uploaded_total</w:t>
            </w:r>
          </w:p>
        </w:tc>
        <w:tc>
          <w:tcPr>
            <w:tcW w:type="dxa" w:w="2413"/>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Counter</w:t>
            </w:r>
          </w:p>
        </w:tc>
        <w:tc>
          <w:tcPr>
            <w:tcW w:type="dxa" w:w="3013"/>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Volume d’uploads par client</w:t>
            </w:r>
          </w:p>
        </w:tc>
      </w:tr>
      <w:tr>
        <w:tc>
          <w:tcPr>
            <w:tcW w:type="dxa" w:w="36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iCs/>
                <w:color w:val="2C3E50"/>
                <w:sz w:val="19"/>
                <w:szCs w:val="19"/>
              </w:rPr>
              <w:t xml:space="preserve">hub_pipeline_duration_seconds</w:t>
            </w:r>
          </w:p>
        </w:tc>
        <w:tc>
          <w:tcPr>
            <w:tcW w:type="dxa" w:w="2413"/>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Histogram</w:t>
            </w:r>
          </w:p>
        </w:tc>
        <w:tc>
          <w:tcPr>
            <w:tcW w:type="dxa" w:w="3013"/>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Temps de traitement p50/p95/p99</w:t>
            </w:r>
          </w:p>
        </w:tc>
      </w:tr>
      <w:tr>
        <w:tc>
          <w:tcPr>
            <w:tcW w:type="dxa" w:w="36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iCs/>
                <w:color w:val="2C3E50"/>
                <w:sz w:val="19"/>
                <w:szCs w:val="19"/>
              </w:rPr>
              <w:t xml:space="preserve">hub_ai_tokens_consumed_total</w:t>
            </w:r>
          </w:p>
        </w:tc>
        <w:tc>
          <w:tcPr>
            <w:tcW w:type="dxa" w:w="2413"/>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Counter</w:t>
            </w:r>
          </w:p>
        </w:tc>
        <w:tc>
          <w:tcPr>
            <w:tcW w:type="dxa" w:w="3013"/>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Suivi des coûts AI par client</w:t>
            </w:r>
          </w:p>
        </w:tc>
      </w:tr>
      <w:tr>
        <w:tc>
          <w:tcPr>
            <w:tcW w:type="dxa" w:w="36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iCs/>
                <w:color w:val="2C3E50"/>
                <w:sz w:val="19"/>
                <w:szCs w:val="19"/>
              </w:rPr>
              <w:t xml:space="preserve">hub_pipeline_errors_total</w:t>
            </w:r>
          </w:p>
        </w:tc>
        <w:tc>
          <w:tcPr>
            <w:tcW w:type="dxa" w:w="2413"/>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Counter</w:t>
            </w:r>
          </w:p>
        </w:tc>
        <w:tc>
          <w:tcPr>
            <w:tcW w:type="dxa" w:w="3013"/>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Taux d’erreur par étape</w:t>
            </w:r>
          </w:p>
        </w:tc>
      </w:tr>
      <w:tr>
        <w:tc>
          <w:tcPr>
            <w:tcW w:type="dxa" w:w="36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iCs/>
                <w:color w:val="2C3E50"/>
                <w:sz w:val="19"/>
                <w:szCs w:val="19"/>
              </w:rPr>
              <w:t xml:space="preserve">hub_storage_used_bytes</w:t>
            </w:r>
          </w:p>
        </w:tc>
        <w:tc>
          <w:tcPr>
            <w:tcW w:type="dxa" w:w="2413"/>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Gauge</w:t>
            </w:r>
          </w:p>
        </w:tc>
        <w:tc>
          <w:tcPr>
            <w:tcW w:type="dxa" w:w="3013"/>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Espace disque par client</w:t>
            </w:r>
          </w:p>
        </w:tc>
      </w:tr>
      <w:tr>
        <w:tc>
          <w:tcPr>
            <w:tcW w:type="dxa" w:w="36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iCs/>
                <w:color w:val="2C3E50"/>
                <w:sz w:val="19"/>
                <w:szCs w:val="19"/>
              </w:rPr>
              <w:t xml:space="preserve">hub_active_websockets</w:t>
            </w:r>
          </w:p>
        </w:tc>
        <w:tc>
          <w:tcPr>
            <w:tcW w:type="dxa" w:w="2413"/>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Gauge</w:t>
            </w:r>
          </w:p>
        </w:tc>
        <w:tc>
          <w:tcPr>
            <w:tcW w:type="dxa" w:w="3013"/>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Connexions WS actives</w:t>
            </w:r>
          </w:p>
        </w:tc>
      </w:tr>
    </w:tbl>
    <w:p>
      <w:pPr>
        <w:spacing w:before="200" w:after="0"/>
      </w:pPr>
    </w:p>
    <w:p>
      <w:pPr>
        <w:pStyle w:val="Heading2"/>
      </w:pPr>
      <w:r>
        <w:rPr>
          <w:rFonts w:ascii="Arial" w:cs="Arial" w:eastAsia="Arial" w:hAnsi="Arial"/>
          <w:b/>
          <w:bCs/>
          <w:color w:val="1A56A0"/>
          <w:sz w:val="28"/>
          <w:szCs w:val="28"/>
        </w:rPr>
        <w:t xml:space="preserve">7.3 Health checks détaillés</w:t>
      </w:r>
    </w:p>
    <w:p>
      <w:pPr>
        <w:spacing w:after="160" w:before="80"/>
      </w:pPr>
      <w:r>
        <w:rPr>
          <w:rFonts w:ascii="Arial" w:cs="Arial" w:eastAsia="Arial" w:hAnsi="Arial"/>
          <w:color w:val="2C3E50"/>
          <w:sz w:val="22"/>
          <w:szCs w:val="22"/>
        </w:rPr>
        <w:t xml:space="preserve">Améliorer l’endpoint /health/detailed pour qu’il vérifie activement chaque composant et retourne un statut actionnable plutôt qu’un simple statut global.</w:t>
      </w:r>
    </w:p>
    <w:p>
      <w:pPr>
        <w:spacing w:before="12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00"/>
        <w:gridCol w:w="8826"/>
      </w:tblGrid>
      <w:tr>
        <w:tc>
          <w:tcPr>
            <w:tcW w:type="dxa" w:w="200"/>
            <w:tcBorders>
              <w:top w:val="none" w:color="FFFFFF" w:sz="0"/>
              <w:left w:val="single" w:color="1A56A0" w:sz="16"/>
              <w:bottom w:val="none" w:color="FFFFFF" w:sz="0"/>
              <w:right w:val="none" w:color="FFFFFF" w:sz="0"/>
            </w:tcBorders>
            <w:shd w:fill="EBF5FB" w:val="clear"/>
            <w:tcMar>
              <w:top w:type="dxa" w:w="100"/>
              <w:left w:type="dxa" w:w="120"/>
              <w:bottom w:type="dxa" w:w="100"/>
              <w:right w:type="dxa" w:w="0"/>
            </w:tcMar>
          </w:tcPr>
          <w:p/>
        </w:tc>
        <w:tc>
          <w:tcPr>
            <w:tcW w:type="dxa" w:w="8826"/>
            <w:tcBorders>
              <w:top w:val="none" w:color="FFFFFF" w:sz="0"/>
              <w:left w:val="none" w:color="FFFFFF" w:sz="0"/>
              <w:bottom w:val="none" w:color="FFFFFF" w:sz="0"/>
              <w:right w:val="none" w:color="FFFFFF" w:sz="0"/>
            </w:tcBorders>
            <w:shd w:fill="EBF5FB" w:val="clear"/>
            <w:tcMar>
              <w:top w:type="dxa" w:w="120"/>
              <w:left w:type="dxa" w:w="160"/>
              <w:bottom w:type="dxa" w:w="120"/>
              <w:right w:type="dxa" w:w="160"/>
            </w:tcMar>
          </w:tcPr>
          <w:p>
            <w:pPr>
              <w:spacing w:after="60"/>
            </w:pPr>
            <w:r>
              <w:rPr>
                <w:rFonts w:ascii="Arial" w:cs="Arial" w:eastAsia="Arial" w:hAnsi="Arial"/>
                <w:color w:val="2C3E50"/>
                <w:sz w:val="20"/>
                <w:szCs w:val="20"/>
              </w:rPr>
              <w:t xml:space="preserve">Base de données : exécuter SELECT 1, mesurer la latence, alerter si &gt; 200ms</w:t>
            </w:r>
          </w:p>
          <w:p>
            <w:pPr>
              <w:spacing w:after="60"/>
            </w:pPr>
            <w:r>
              <w:rPr>
                <w:rFonts w:ascii="Arial" w:cs="Arial" w:eastAsia="Arial" w:hAnsi="Arial"/>
                <w:color w:val="2C3E50"/>
                <w:sz w:val="20"/>
                <w:szCs w:val="20"/>
              </w:rPr>
              <w:t xml:space="preserve">Tesseract : tenter un OCR sur une image de test en mémoire (1x1 pixel)</w:t>
            </w:r>
          </w:p>
          <w:p>
            <w:pPr>
              <w:spacing w:after="60"/>
            </w:pPr>
            <w:r>
              <w:rPr>
                <w:rFonts w:ascii="Arial" w:cs="Arial" w:eastAsia="Arial" w:hAnsi="Arial"/>
                <w:color w:val="2C3E50"/>
                <w:sz w:val="20"/>
                <w:szCs w:val="20"/>
              </w:rPr>
              <w:t xml:space="preserve">API Anthropic : vérifier la validité de la clé via GET https://api.anthropic.com/v1/models</w:t>
            </w:r>
          </w:p>
          <w:p>
            <w:pPr>
              <w:spacing w:after="60"/>
            </w:pPr>
            <w:r>
              <w:rPr>
                <w:rFonts w:ascii="Arial" w:cs="Arial" w:eastAsia="Arial" w:hAnsi="Arial"/>
                <w:color w:val="2C3E50"/>
                <w:sz w:val="20"/>
                <w:szCs w:val="20"/>
              </w:rPr>
              <w:t xml:space="preserve">Espace disque : alerter si occupation &gt; 85% du quota total configuré</w:t>
            </w:r>
          </w:p>
          <w:p>
            <w:pPr>
              <w:spacing w:after="60"/>
            </w:pPr>
            <w:r>
              <w:rPr>
                <w:rFonts w:ascii="Arial" w:cs="Arial" w:eastAsia="Arial" w:hAnsi="Arial"/>
                <w:color w:val="2C3E50"/>
                <w:sz w:val="20"/>
                <w:szCs w:val="20"/>
              </w:rPr>
              <w:t xml:space="preserve">File ARQ/Redis : vérifier la connexion et le nombre de tâches en attente</w:t>
            </w:r>
          </w:p>
        </w:tc>
      </w:tr>
    </w:tbl>
    <w:p>
      <w:r>
        <w:br w:type="page"/>
      </w:r>
    </w:p>
    <w:p>
      <w:pPr>
        <w:pStyle w:val="Heading1"/>
      </w:pPr>
      <w:r>
        <w:rPr>
          <w:rFonts w:ascii="Arial" w:cs="Arial" w:eastAsia="Arial" w:hAnsi="Arial"/>
          <w:b/>
          <w:bCs/>
          <w:color w:val="1A56A0"/>
          <w:sz w:val="36"/>
          <w:szCs w:val="36"/>
        </w:rPr>
        <w:t xml:space="preserve">8. Axe 7 — Versioning de l’API et SDK clients</w:t>
      </w:r>
    </w:p>
    <w:p>
      <w:pPr>
        <w:pBdr>
          <w:bottom w:val="single" w:color="1A56A0" w:sz="8" w:space="1"/>
        </w:pBdr>
        <w:spacing w:after="200"/>
      </w:pPr>
    </w:p>
    <w:p>
      <w:pPr>
        <w:pStyle w:val="Heading2"/>
      </w:pPr>
      <w:r>
        <w:rPr>
          <w:rFonts w:ascii="Arial" w:cs="Arial" w:eastAsia="Arial" w:hAnsi="Arial"/>
          <w:b/>
          <w:bCs/>
          <w:color w:val="1A56A0"/>
          <w:sz w:val="28"/>
          <w:szCs w:val="28"/>
        </w:rPr>
        <w:t xml:space="preserve">8.1 Versioning des endpoints</w:t>
      </w:r>
    </w:p>
    <w:p>
      <w:pPr>
        <w:spacing w:after="160" w:before="80"/>
      </w:pPr>
      <w:r>
        <w:rPr>
          <w:rFonts w:ascii="Arial" w:cs="Arial" w:eastAsia="Arial" w:hAnsi="Arial"/>
          <w:color w:val="2C3E50"/>
          <w:sz w:val="22"/>
          <w:szCs w:val="22"/>
        </w:rPr>
        <w:t xml:space="preserve">Un hub servant plusieurs clients ne peut pas modifier ses endpoints sans risquer de casser les intégrations existantes. Le versioning dés le début évite des migrations douloureuses.</w:t>
      </w:r>
    </w:p>
    <w:p>
      <w:pPr>
        <w:spacing w:before="12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000"/>
        <w:gridCol w:w="3513"/>
        <w:gridCol w:w="3513"/>
      </w:tblGrid>
      <w:tr>
        <w:trPr>
          <w:tblHeader/>
        </w:trPr>
        <w:tc>
          <w:tcPr>
            <w:tcW w:type="dxa" w:w="2000"/>
            <w:tcBorders>
              <w:top w:val="single" w:color="3A7DBF" w:sz="4"/>
              <w:left w:val="single" w:color="3A7DBF" w:sz="4"/>
              <w:bottom w:val="single" w:color="3A7DBF" w:sz="4"/>
              <w:right w:val="single" w:color="3A7DBF" w:sz="4"/>
            </w:tcBorders>
            <w:shd w:fill="1A56A0" w:val="clear"/>
            <w:tcMar>
              <w:top w:type="dxa" w:w="100"/>
              <w:left w:type="dxa" w:w="120"/>
              <w:bottom w:type="dxa" w:w="100"/>
              <w:right w:type="dxa" w:w="120"/>
            </w:tcMar>
            <w:vAlign w:val="center"/>
          </w:tcPr>
          <w:p>
            <w:pPr>
              <w:jc w:val="center"/>
            </w:pPr>
            <w:r>
              <w:rPr>
                <w:rFonts w:ascii="Arial" w:cs="Arial" w:eastAsia="Arial" w:hAnsi="Arial"/>
                <w:b/>
                <w:bCs/>
                <w:color w:val="FFFFFF"/>
                <w:sz w:val="20"/>
                <w:szCs w:val="20"/>
              </w:rPr>
              <w:t xml:space="preserve">Stratégie</w:t>
            </w:r>
          </w:p>
        </w:tc>
        <w:tc>
          <w:tcPr>
            <w:tcW w:type="dxa" w:w="3513"/>
            <w:tcBorders>
              <w:top w:val="single" w:color="3A7DBF" w:sz="4"/>
              <w:left w:val="single" w:color="3A7DBF" w:sz="4"/>
              <w:bottom w:val="single" w:color="3A7DBF" w:sz="4"/>
              <w:right w:val="single" w:color="3A7DBF" w:sz="4"/>
            </w:tcBorders>
            <w:shd w:fill="1A56A0" w:val="clear"/>
            <w:tcMar>
              <w:top w:type="dxa" w:w="100"/>
              <w:left w:type="dxa" w:w="120"/>
              <w:bottom w:type="dxa" w:w="100"/>
              <w:right w:type="dxa" w:w="120"/>
            </w:tcMar>
            <w:vAlign w:val="center"/>
          </w:tcPr>
          <w:p>
            <w:pPr>
              <w:jc w:val="center"/>
            </w:pPr>
            <w:r>
              <w:rPr>
                <w:rFonts w:ascii="Arial" w:cs="Arial" w:eastAsia="Arial" w:hAnsi="Arial"/>
                <w:b/>
                <w:bCs/>
                <w:color w:val="FFFFFF"/>
                <w:sz w:val="20"/>
                <w:szCs w:val="20"/>
              </w:rPr>
              <w:t xml:space="preserve">Exemple</w:t>
            </w:r>
          </w:p>
        </w:tc>
        <w:tc>
          <w:tcPr>
            <w:tcW w:type="dxa" w:w="3513"/>
            <w:tcBorders>
              <w:top w:val="single" w:color="3A7DBF" w:sz="4"/>
              <w:left w:val="single" w:color="3A7DBF" w:sz="4"/>
              <w:bottom w:val="single" w:color="3A7DBF" w:sz="4"/>
              <w:right w:val="single" w:color="3A7DBF" w:sz="4"/>
            </w:tcBorders>
            <w:shd w:fill="1A56A0" w:val="clear"/>
            <w:tcMar>
              <w:top w:type="dxa" w:w="100"/>
              <w:left w:type="dxa" w:w="120"/>
              <w:bottom w:type="dxa" w:w="100"/>
              <w:right w:type="dxa" w:w="120"/>
            </w:tcMar>
            <w:vAlign w:val="center"/>
          </w:tcPr>
          <w:p>
            <w:pPr>
              <w:jc w:val="center"/>
            </w:pPr>
            <w:r>
              <w:rPr>
                <w:rFonts w:ascii="Arial" w:cs="Arial" w:eastAsia="Arial" w:hAnsi="Arial"/>
                <w:b/>
                <w:bCs/>
                <w:color w:val="FFFFFF"/>
                <w:sz w:val="20"/>
                <w:szCs w:val="20"/>
              </w:rPr>
              <w:t xml:space="preserve">Recommandation</w:t>
            </w:r>
          </w:p>
        </w:tc>
      </w:tr>
      <w:tr>
        <w:tc>
          <w:tcPr>
            <w:tcW w:type="dxa" w:w="20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URL path</w:t>
            </w:r>
          </w:p>
        </w:tc>
        <w:tc>
          <w:tcPr>
            <w:tcW w:type="dxa" w:w="3513"/>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iCs/>
                <w:color w:val="2C3E50"/>
                <w:sz w:val="19"/>
                <w:szCs w:val="19"/>
              </w:rPr>
              <w:t xml:space="preserve">/v1/images/upload, /v2/images/upload</w:t>
            </w:r>
          </w:p>
        </w:tc>
        <w:tc>
          <w:tcPr>
            <w:tcW w:type="dxa" w:w="3513"/>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1E8449"/>
                <w:sz w:val="19"/>
                <w:szCs w:val="19"/>
              </w:rPr>
              <w:t xml:space="preserve">Simple, visible, recommandé pour ce projet</w:t>
            </w:r>
          </w:p>
        </w:tc>
      </w:tr>
      <w:tr>
        <w:tc>
          <w:tcPr>
            <w:tcW w:type="dxa" w:w="20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Header</w:t>
            </w:r>
          </w:p>
        </w:tc>
        <w:tc>
          <w:tcPr>
            <w:tcW w:type="dxa" w:w="3513"/>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iCs/>
                <w:color w:val="2C3E50"/>
                <w:sz w:val="19"/>
                <w:szCs w:val="19"/>
              </w:rPr>
              <w:t xml:space="preserve">API-Version: 2024-01-15</w:t>
            </w:r>
          </w:p>
        </w:tc>
        <w:tc>
          <w:tcPr>
            <w:tcW w:type="dxa" w:w="3513"/>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Flexible mais moins visible</w:t>
            </w:r>
          </w:p>
        </w:tc>
      </w:tr>
      <w:tr>
        <w:tc>
          <w:tcPr>
            <w:tcW w:type="dxa" w:w="20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Query param</w:t>
            </w:r>
          </w:p>
        </w:tc>
        <w:tc>
          <w:tcPr>
            <w:tcW w:type="dxa" w:w="3513"/>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iCs/>
                <w:color w:val="2C3E50"/>
                <w:sz w:val="19"/>
                <w:szCs w:val="19"/>
              </w:rPr>
              <w:t xml:space="preserve">?version=1</w:t>
            </w:r>
          </w:p>
        </w:tc>
        <w:tc>
          <w:tcPr>
            <w:tcW w:type="dxa" w:w="3513"/>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C0392B"/>
                <w:sz w:val="19"/>
                <w:szCs w:val="19"/>
              </w:rPr>
              <w:t xml:space="preserve">À éviter, pollue les URLs</w:t>
            </w:r>
          </w:p>
        </w:tc>
      </w:tr>
    </w:tbl>
    <w:p>
      <w:pPr>
        <w:spacing w:before="160" w:after="0"/>
      </w:pPr>
    </w:p>
    <w:p>
      <w:pPr>
        <w:spacing w:after="160" w:before="80"/>
      </w:pPr>
      <w:r>
        <w:rPr>
          <w:rFonts w:ascii="Arial" w:cs="Arial" w:eastAsia="Arial" w:hAnsi="Arial"/>
          <w:color w:val="2C3E50"/>
          <w:sz w:val="22"/>
          <w:szCs w:val="22"/>
        </w:rPr>
        <w:t xml:space="preserve">Adopter /api/v1/ comme préfixe dès maintenant. Définir une politique de dépréciation : une version est supportée au minimum 12 mois après publication de la suivante. Retourner le header Deprecation: true sur les endpoints obsolètes.</w:t>
      </w:r>
    </w:p>
    <w:p>
      <w:pPr>
        <w:spacing w:before="200" w:after="0"/>
      </w:pPr>
    </w:p>
    <w:p>
      <w:pPr>
        <w:pStyle w:val="Heading2"/>
      </w:pPr>
      <w:r>
        <w:rPr>
          <w:rFonts w:ascii="Arial" w:cs="Arial" w:eastAsia="Arial" w:hAnsi="Arial"/>
          <w:b/>
          <w:bCs/>
          <w:color w:val="1A56A0"/>
          <w:sz w:val="28"/>
          <w:szCs w:val="28"/>
        </w:rPr>
        <w:t xml:space="preserve">8.2 SDK Python officiel</w:t>
      </w:r>
    </w:p>
    <w:p>
      <w:pPr>
        <w:spacing w:after="160" w:before="80"/>
      </w:pPr>
      <w:r>
        <w:rPr>
          <w:rFonts w:ascii="Arial" w:cs="Arial" w:eastAsia="Arial" w:hAnsi="Arial"/>
          <w:color w:val="2C3E50"/>
          <w:sz w:val="22"/>
          <w:szCs w:val="22"/>
        </w:rPr>
        <w:t xml:space="preserve">Générer un SDK Python à partir des schémas OpenAPI du backend. Cela simplifie drastiquement l’intégration pour les clients Python (dont Shaarli) et réduit les erreurs de communication.</w:t>
      </w:r>
    </w:p>
    <w:p>
      <w:pPr>
        <w:spacing w:before="12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00"/>
        <w:gridCol w:w="8826"/>
      </w:tblGrid>
      <w:tr>
        <w:tc>
          <w:tcPr>
            <w:tcW w:type="dxa" w:w="200"/>
            <w:tcBorders>
              <w:top w:val="none" w:color="FFFFFF" w:sz="0"/>
              <w:left w:val="single" w:color="1A56A0" w:sz="16"/>
              <w:bottom w:val="none" w:color="FFFFFF" w:sz="0"/>
              <w:right w:val="none" w:color="FFFFFF" w:sz="0"/>
            </w:tcBorders>
            <w:shd w:fill="EBF5FB" w:val="clear"/>
            <w:tcMar>
              <w:top w:type="dxa" w:w="100"/>
              <w:left w:type="dxa" w:w="120"/>
              <w:bottom w:type="dxa" w:w="100"/>
              <w:right w:type="dxa" w:w="0"/>
            </w:tcMar>
          </w:tcPr>
          <w:p/>
        </w:tc>
        <w:tc>
          <w:tcPr>
            <w:tcW w:type="dxa" w:w="8826"/>
            <w:tcBorders>
              <w:top w:val="none" w:color="FFFFFF" w:sz="0"/>
              <w:left w:val="none" w:color="FFFFFF" w:sz="0"/>
              <w:bottom w:val="none" w:color="FFFFFF" w:sz="0"/>
              <w:right w:val="none" w:color="FFFFFF" w:sz="0"/>
            </w:tcBorders>
            <w:shd w:fill="EBF5FB" w:val="clear"/>
            <w:tcMar>
              <w:top w:type="dxa" w:w="120"/>
              <w:left w:type="dxa" w:w="160"/>
              <w:bottom w:type="dxa" w:w="120"/>
              <w:right w:type="dxa" w:w="160"/>
            </w:tcMar>
          </w:tcPr>
          <w:p>
            <w:pPr>
              <w:spacing w:after="60"/>
            </w:pPr>
            <w:r>
              <w:rPr>
                <w:rFonts w:ascii="Arial" w:cs="Arial" w:eastAsia="Arial" w:hAnsi="Arial"/>
                <w:color w:val="2C3E50"/>
                <w:sz w:val="20"/>
                <w:szCs w:val="20"/>
              </w:rPr>
              <w:t xml:space="preserve">Génération automatique : openapi-generator-cli à partir de /openapi.json</w:t>
            </w:r>
          </w:p>
          <w:p>
            <w:pPr>
              <w:spacing w:after="60"/>
            </w:pPr>
            <w:r>
              <w:rPr>
                <w:rFonts w:ascii="Arial" w:cs="Arial" w:eastAsia="Arial" w:hAnsi="Arial"/>
                <w:color w:val="2C3E50"/>
                <w:sz w:val="20"/>
                <w:szCs w:val="20"/>
              </w:rPr>
              <w:t xml:space="preserve">Package installable : pip install shaarli-hub-client</w:t>
            </w:r>
          </w:p>
          <w:p>
            <w:pPr>
              <w:spacing w:after="60"/>
            </w:pPr>
            <w:r>
              <w:rPr>
                <w:rFonts w:ascii="Arial" w:cs="Arial" w:eastAsia="Arial" w:hAnsi="Arial"/>
                <w:color w:val="2C3E50"/>
                <w:sz w:val="20"/>
                <w:szCs w:val="20"/>
              </w:rPr>
              <w:t xml:space="preserve">Fonctionnalités : upload, polling, WebSocket, gestion des erreurs, retry automatique</w:t>
            </w:r>
          </w:p>
          <w:p>
            <w:pPr>
              <w:spacing w:after="60"/>
            </w:pPr>
            <w:r>
              <w:rPr>
                <w:rFonts w:ascii="Arial" w:cs="Arial" w:eastAsia="Arial" w:hAnsi="Arial"/>
                <w:color w:val="2C3E50"/>
                <w:sz w:val="20"/>
                <w:szCs w:val="20"/>
              </w:rPr>
              <w:t xml:space="preserve">Publication : PyPI (public) ou Gitea/GitHub Packages (privé)</w:t>
            </w:r>
          </w:p>
          <w:p>
            <w:pPr>
              <w:spacing w:after="60"/>
            </w:pPr>
            <w:r>
              <w:rPr>
                <w:rFonts w:ascii="Arial" w:cs="Arial" w:eastAsia="Arial" w:hAnsi="Arial"/>
                <w:color w:val="2C3E50"/>
                <w:sz w:val="20"/>
                <w:szCs w:val="20"/>
              </w:rPr>
              <w:t xml:space="preserve">Exemple : client = HubClient(api_key="..."); result = await client.upload(file)</w:t>
            </w:r>
          </w:p>
        </w:tc>
      </w:tr>
    </w:tbl>
    <w:p>
      <w:r>
        <w:br w:type="page"/>
      </w:r>
    </w:p>
    <w:p>
      <w:pPr>
        <w:pStyle w:val="Heading1"/>
      </w:pPr>
      <w:r>
        <w:rPr>
          <w:rFonts w:ascii="Arial" w:cs="Arial" w:eastAsia="Arial" w:hAnsi="Arial"/>
          <w:b/>
          <w:bCs/>
          <w:color w:val="1A56A0"/>
          <w:sz w:val="36"/>
          <w:szCs w:val="36"/>
        </w:rPr>
        <w:t xml:space="preserve">9. Axe 8 — Tests, qualité de code et CI/CD</w:t>
      </w:r>
    </w:p>
    <w:p>
      <w:pPr>
        <w:pBdr>
          <w:bottom w:val="single" w:color="1A56A0" w:sz="8" w:space="1"/>
        </w:pBdr>
        <w:spacing w:after="200"/>
      </w:pPr>
    </w:p>
    <w:p>
      <w:pPr>
        <w:pStyle w:val="Heading2"/>
      </w:pPr>
      <w:r>
        <w:rPr>
          <w:rFonts w:ascii="Arial" w:cs="Arial" w:eastAsia="Arial" w:hAnsi="Arial"/>
          <w:b/>
          <w:bCs/>
          <w:color w:val="1A56A0"/>
          <w:sz w:val="28"/>
          <w:szCs w:val="28"/>
        </w:rPr>
        <w:t xml:space="preserve">9.1 Stratégie de tests</w:t>
      </w:r>
    </w:p>
    <w:p>
      <w:pPr>
        <w:spacing w:after="160" w:before="80"/>
      </w:pPr>
      <w:r>
        <w:rPr>
          <w:rFonts w:ascii="Arial" w:cs="Arial" w:eastAsia="Arial" w:hAnsi="Arial"/>
          <w:color w:val="2C3E50"/>
          <w:sz w:val="22"/>
          <w:szCs w:val="22"/>
        </w:rPr>
        <w:t xml:space="preserve">Le projet actuel contient des tests unitaires basiques. Pour un hub de production, une couverture plus large est nécessaire avec des tests organisés en trois niveaux.</w:t>
      </w:r>
    </w:p>
    <w:p>
      <w:pPr>
        <w:spacing w:before="12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000"/>
        <w:gridCol w:w="2413"/>
        <w:gridCol w:w="1813"/>
        <w:gridCol w:w="2800"/>
      </w:tblGrid>
      <w:tr>
        <w:trPr>
          <w:tblHeader/>
        </w:trPr>
        <w:tc>
          <w:tcPr>
            <w:tcW w:type="dxa" w:w="2000"/>
            <w:tcBorders>
              <w:top w:val="single" w:color="3A7DBF" w:sz="4"/>
              <w:left w:val="single" w:color="3A7DBF" w:sz="4"/>
              <w:bottom w:val="single" w:color="3A7DBF" w:sz="4"/>
              <w:right w:val="single" w:color="3A7DBF" w:sz="4"/>
            </w:tcBorders>
            <w:shd w:fill="1A56A0" w:val="clear"/>
            <w:tcMar>
              <w:top w:type="dxa" w:w="100"/>
              <w:left w:type="dxa" w:w="120"/>
              <w:bottom w:type="dxa" w:w="100"/>
              <w:right w:type="dxa" w:w="120"/>
            </w:tcMar>
            <w:vAlign w:val="center"/>
          </w:tcPr>
          <w:p>
            <w:pPr>
              <w:jc w:val="center"/>
            </w:pPr>
            <w:r>
              <w:rPr>
                <w:rFonts w:ascii="Arial" w:cs="Arial" w:eastAsia="Arial" w:hAnsi="Arial"/>
                <w:b/>
                <w:bCs/>
                <w:color w:val="FFFFFF"/>
                <w:sz w:val="20"/>
                <w:szCs w:val="20"/>
              </w:rPr>
              <w:t xml:space="preserve">Niveau</w:t>
            </w:r>
          </w:p>
        </w:tc>
        <w:tc>
          <w:tcPr>
            <w:tcW w:type="dxa" w:w="2413"/>
            <w:tcBorders>
              <w:top w:val="single" w:color="3A7DBF" w:sz="4"/>
              <w:left w:val="single" w:color="3A7DBF" w:sz="4"/>
              <w:bottom w:val="single" w:color="3A7DBF" w:sz="4"/>
              <w:right w:val="single" w:color="3A7DBF" w:sz="4"/>
            </w:tcBorders>
            <w:shd w:fill="1A56A0" w:val="clear"/>
            <w:tcMar>
              <w:top w:type="dxa" w:w="100"/>
              <w:left w:type="dxa" w:w="120"/>
              <w:bottom w:type="dxa" w:w="100"/>
              <w:right w:type="dxa" w:w="120"/>
            </w:tcMar>
            <w:vAlign w:val="center"/>
          </w:tcPr>
          <w:p>
            <w:pPr>
              <w:jc w:val="center"/>
            </w:pPr>
            <w:r>
              <w:rPr>
                <w:rFonts w:ascii="Arial" w:cs="Arial" w:eastAsia="Arial" w:hAnsi="Arial"/>
                <w:b/>
                <w:bCs/>
                <w:color w:val="FFFFFF"/>
                <w:sz w:val="20"/>
                <w:szCs w:val="20"/>
              </w:rPr>
              <w:t xml:space="preserve">Ce qu’on teste</w:t>
            </w:r>
          </w:p>
        </w:tc>
        <w:tc>
          <w:tcPr>
            <w:tcW w:type="dxa" w:w="1813"/>
            <w:tcBorders>
              <w:top w:val="single" w:color="3A7DBF" w:sz="4"/>
              <w:left w:val="single" w:color="3A7DBF" w:sz="4"/>
              <w:bottom w:val="single" w:color="3A7DBF" w:sz="4"/>
              <w:right w:val="single" w:color="3A7DBF" w:sz="4"/>
            </w:tcBorders>
            <w:shd w:fill="1A56A0" w:val="clear"/>
            <w:tcMar>
              <w:top w:type="dxa" w:w="100"/>
              <w:left w:type="dxa" w:w="120"/>
              <w:bottom w:type="dxa" w:w="100"/>
              <w:right w:type="dxa" w:w="120"/>
            </w:tcMar>
            <w:vAlign w:val="center"/>
          </w:tcPr>
          <w:p>
            <w:pPr>
              <w:jc w:val="center"/>
            </w:pPr>
            <w:r>
              <w:rPr>
                <w:rFonts w:ascii="Arial" w:cs="Arial" w:eastAsia="Arial" w:hAnsi="Arial"/>
                <w:b/>
                <w:bCs/>
                <w:color w:val="FFFFFF"/>
                <w:sz w:val="20"/>
                <w:szCs w:val="20"/>
              </w:rPr>
              <w:t xml:space="preserve">Couverture cible</w:t>
            </w:r>
          </w:p>
        </w:tc>
        <w:tc>
          <w:tcPr>
            <w:tcW w:type="dxa" w:w="2800"/>
            <w:tcBorders>
              <w:top w:val="single" w:color="3A7DBF" w:sz="4"/>
              <w:left w:val="single" w:color="3A7DBF" w:sz="4"/>
              <w:bottom w:val="single" w:color="3A7DBF" w:sz="4"/>
              <w:right w:val="single" w:color="3A7DBF" w:sz="4"/>
            </w:tcBorders>
            <w:shd w:fill="1A56A0" w:val="clear"/>
            <w:tcMar>
              <w:top w:type="dxa" w:w="100"/>
              <w:left w:type="dxa" w:w="120"/>
              <w:bottom w:type="dxa" w:w="100"/>
              <w:right w:type="dxa" w:w="120"/>
            </w:tcMar>
            <w:vAlign w:val="center"/>
          </w:tcPr>
          <w:p>
            <w:pPr>
              <w:jc w:val="center"/>
            </w:pPr>
            <w:r>
              <w:rPr>
                <w:rFonts w:ascii="Arial" w:cs="Arial" w:eastAsia="Arial" w:hAnsi="Arial"/>
                <w:b/>
                <w:bCs/>
                <w:color w:val="FFFFFF"/>
                <w:sz w:val="20"/>
                <w:szCs w:val="20"/>
              </w:rPr>
              <w:t xml:space="preserve">Outils</w:t>
            </w:r>
          </w:p>
        </w:tc>
      </w:tr>
      <w:tr>
        <w:tc>
          <w:tcPr>
            <w:tcW w:type="dxa" w:w="20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Unitaires</w:t>
            </w:r>
          </w:p>
        </w:tc>
        <w:tc>
          <w:tcPr>
            <w:tcW w:type="dxa" w:w="2413"/>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Services isolés (EXIF, OCR, storage)</w:t>
            </w:r>
          </w:p>
        </w:tc>
        <w:tc>
          <w:tcPr>
            <w:tcW w:type="dxa" w:w="1813"/>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center"/>
            </w:pPr>
            <w:r>
              <w:rPr>
                <w:rFonts w:ascii="Arial" w:cs="Arial" w:eastAsia="Arial" w:hAnsi="Arial"/>
                <w:b/>
                <w:bCs/>
                <w:i w:val="false"/>
                <w:iCs w:val="false"/>
                <w:color w:val="1E8449"/>
                <w:sz w:val="19"/>
                <w:szCs w:val="19"/>
              </w:rPr>
              <w:t xml:space="preserve">90%+</w:t>
            </w:r>
          </w:p>
        </w:tc>
        <w:tc>
          <w:tcPr>
            <w:tcW w:type="dxa" w:w="28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pytest, unittest.mock</w:t>
            </w:r>
          </w:p>
        </w:tc>
      </w:tr>
      <w:tr>
        <w:tc>
          <w:tcPr>
            <w:tcW w:type="dxa" w:w="20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Intégration</w:t>
            </w:r>
          </w:p>
        </w:tc>
        <w:tc>
          <w:tcPr>
            <w:tcW w:type="dxa" w:w="2413"/>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Endpoints FastAPI + BDD de test</w:t>
            </w:r>
          </w:p>
        </w:tc>
        <w:tc>
          <w:tcPr>
            <w:tcW w:type="dxa" w:w="1813"/>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center"/>
            </w:pPr>
            <w:r>
              <w:rPr>
                <w:rFonts w:ascii="Arial" w:cs="Arial" w:eastAsia="Arial" w:hAnsi="Arial"/>
                <w:b w:val="false"/>
                <w:bCs w:val="false"/>
                <w:i w:val="false"/>
                <w:iCs w:val="false"/>
                <w:color w:val="2C3E50"/>
                <w:sz w:val="19"/>
                <w:szCs w:val="19"/>
              </w:rPr>
              <w:t xml:space="preserve">80%+</w:t>
            </w:r>
          </w:p>
        </w:tc>
        <w:tc>
          <w:tcPr>
            <w:tcW w:type="dxa" w:w="2800"/>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httpx.AsyncClient, SQLite in-memory</w:t>
            </w:r>
          </w:p>
        </w:tc>
      </w:tr>
      <w:tr>
        <w:tc>
          <w:tcPr>
            <w:tcW w:type="dxa" w:w="20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End-to-End</w:t>
            </w:r>
          </w:p>
        </w:tc>
        <w:tc>
          <w:tcPr>
            <w:tcW w:type="dxa" w:w="2413"/>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Pipeline complet upload → AI</w:t>
            </w:r>
          </w:p>
        </w:tc>
        <w:tc>
          <w:tcPr>
            <w:tcW w:type="dxa" w:w="1813"/>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center"/>
            </w:pPr>
            <w:r>
              <w:rPr>
                <w:rFonts w:ascii="Arial" w:cs="Arial" w:eastAsia="Arial" w:hAnsi="Arial"/>
                <w:b w:val="false"/>
                <w:bCs w:val="false"/>
                <w:i w:val="false"/>
                <w:iCs w:val="false"/>
                <w:color w:val="2C3E50"/>
                <w:sz w:val="19"/>
                <w:szCs w:val="19"/>
              </w:rPr>
              <w:t xml:space="preserve">Scénarios clés</w:t>
            </w:r>
          </w:p>
        </w:tc>
        <w:tc>
          <w:tcPr>
            <w:tcW w:type="dxa" w:w="28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pytest-asyncio, mocks API Anthropic</w:t>
            </w:r>
          </w:p>
        </w:tc>
      </w:tr>
      <w:tr>
        <w:tc>
          <w:tcPr>
            <w:tcW w:type="dxa" w:w="20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Performance</w:t>
            </w:r>
          </w:p>
        </w:tc>
        <w:tc>
          <w:tcPr>
            <w:tcW w:type="dxa" w:w="2413"/>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Charge concurrente, temps de réponse</w:t>
            </w:r>
          </w:p>
        </w:tc>
        <w:tc>
          <w:tcPr>
            <w:tcW w:type="dxa" w:w="1813"/>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center"/>
            </w:pPr>
            <w:r>
              <w:rPr>
                <w:rFonts w:ascii="Arial" w:cs="Arial" w:eastAsia="Arial" w:hAnsi="Arial"/>
                <w:b w:val="false"/>
                <w:bCs w:val="false"/>
                <w:i w:val="false"/>
                <w:iCs w:val="false"/>
                <w:color w:val="2C3E50"/>
                <w:sz w:val="19"/>
                <w:szCs w:val="19"/>
              </w:rPr>
              <w:t xml:space="preserve">Benchmarks</w:t>
            </w:r>
          </w:p>
        </w:tc>
        <w:tc>
          <w:tcPr>
            <w:tcW w:type="dxa" w:w="2800"/>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locust, k6</w:t>
            </w:r>
          </w:p>
        </w:tc>
      </w:tr>
    </w:tbl>
    <w:p>
      <w:pPr>
        <w:spacing w:before="200" w:after="0"/>
      </w:pPr>
    </w:p>
    <w:p>
      <w:pPr>
        <w:pStyle w:val="Heading2"/>
      </w:pPr>
      <w:r>
        <w:rPr>
          <w:rFonts w:ascii="Arial" w:cs="Arial" w:eastAsia="Arial" w:hAnsi="Arial"/>
          <w:b/>
          <w:bCs/>
          <w:color w:val="1A56A0"/>
          <w:sz w:val="28"/>
          <w:szCs w:val="28"/>
        </w:rPr>
        <w:t xml:space="preserve">9.2 Qualité de code</w:t>
      </w:r>
    </w:p>
    <w:p>
      <w:pPr>
        <w:spacing w:after="160" w:before="80"/>
      </w:pPr>
      <w:r>
        <w:rPr>
          <w:rFonts w:ascii="Arial" w:cs="Arial" w:eastAsia="Arial" w:hAnsi="Arial"/>
          <w:color w:val="2C3E50"/>
          <w:sz w:val="22"/>
          <w:szCs w:val="22"/>
        </w:rPr>
        <w:t xml:space="preserve">Automatiser les contrôles qualité pour éviter la dégradation progressive du code à mesure que le projet grossit.</w:t>
      </w:r>
    </w:p>
    <w:p>
      <w:pPr>
        <w:spacing w:before="12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00"/>
        <w:gridCol w:w="3413"/>
        <w:gridCol w:w="3413"/>
      </w:tblGrid>
      <w:tr>
        <w:trPr>
          <w:tblHeader/>
        </w:trPr>
        <w:tc>
          <w:tcPr>
            <w:tcW w:type="dxa" w:w="2200"/>
            <w:tcBorders>
              <w:top w:val="single" w:color="3A7DBF" w:sz="4"/>
              <w:left w:val="single" w:color="3A7DBF" w:sz="4"/>
              <w:bottom w:val="single" w:color="3A7DBF" w:sz="4"/>
              <w:right w:val="single" w:color="3A7DBF" w:sz="4"/>
            </w:tcBorders>
            <w:shd w:fill="1A56A0" w:val="clear"/>
            <w:tcMar>
              <w:top w:type="dxa" w:w="100"/>
              <w:left w:type="dxa" w:w="120"/>
              <w:bottom w:type="dxa" w:w="100"/>
              <w:right w:type="dxa" w:w="120"/>
            </w:tcMar>
            <w:vAlign w:val="center"/>
          </w:tcPr>
          <w:p>
            <w:pPr>
              <w:jc w:val="center"/>
            </w:pPr>
            <w:r>
              <w:rPr>
                <w:rFonts w:ascii="Arial" w:cs="Arial" w:eastAsia="Arial" w:hAnsi="Arial"/>
                <w:b/>
                <w:bCs/>
                <w:color w:val="FFFFFF"/>
                <w:sz w:val="20"/>
                <w:szCs w:val="20"/>
              </w:rPr>
              <w:t xml:space="preserve">Outil</w:t>
            </w:r>
          </w:p>
        </w:tc>
        <w:tc>
          <w:tcPr>
            <w:tcW w:type="dxa" w:w="3413"/>
            <w:tcBorders>
              <w:top w:val="single" w:color="3A7DBF" w:sz="4"/>
              <w:left w:val="single" w:color="3A7DBF" w:sz="4"/>
              <w:bottom w:val="single" w:color="3A7DBF" w:sz="4"/>
              <w:right w:val="single" w:color="3A7DBF" w:sz="4"/>
            </w:tcBorders>
            <w:shd w:fill="1A56A0" w:val="clear"/>
            <w:tcMar>
              <w:top w:type="dxa" w:w="100"/>
              <w:left w:type="dxa" w:w="120"/>
              <w:bottom w:type="dxa" w:w="100"/>
              <w:right w:type="dxa" w:w="120"/>
            </w:tcMar>
            <w:vAlign w:val="center"/>
          </w:tcPr>
          <w:p>
            <w:pPr>
              <w:jc w:val="center"/>
            </w:pPr>
            <w:r>
              <w:rPr>
                <w:rFonts w:ascii="Arial" w:cs="Arial" w:eastAsia="Arial" w:hAnsi="Arial"/>
                <w:b/>
                <w:bCs/>
                <w:color w:val="FFFFFF"/>
                <w:sz w:val="20"/>
                <w:szCs w:val="20"/>
              </w:rPr>
              <w:t xml:space="preserve">Rôle</w:t>
            </w:r>
          </w:p>
        </w:tc>
        <w:tc>
          <w:tcPr>
            <w:tcW w:type="dxa" w:w="3413"/>
            <w:tcBorders>
              <w:top w:val="single" w:color="3A7DBF" w:sz="4"/>
              <w:left w:val="single" w:color="3A7DBF" w:sz="4"/>
              <w:bottom w:val="single" w:color="3A7DBF" w:sz="4"/>
              <w:right w:val="single" w:color="3A7DBF" w:sz="4"/>
            </w:tcBorders>
            <w:shd w:fill="1A56A0" w:val="clear"/>
            <w:tcMar>
              <w:top w:type="dxa" w:w="100"/>
              <w:left w:type="dxa" w:w="120"/>
              <w:bottom w:type="dxa" w:w="100"/>
              <w:right w:type="dxa" w:w="120"/>
            </w:tcMar>
            <w:vAlign w:val="center"/>
          </w:tcPr>
          <w:p>
            <w:pPr>
              <w:jc w:val="center"/>
            </w:pPr>
            <w:r>
              <w:rPr>
                <w:rFonts w:ascii="Arial" w:cs="Arial" w:eastAsia="Arial" w:hAnsi="Arial"/>
                <w:b/>
                <w:bCs/>
                <w:color w:val="FFFFFF"/>
                <w:sz w:val="20"/>
                <w:szCs w:val="20"/>
              </w:rPr>
              <w:t xml:space="preserve">Configuration</w:t>
            </w:r>
          </w:p>
        </w:tc>
      </w:tr>
      <w:tr>
        <w:tc>
          <w:tcPr>
            <w:tcW w:type="dxa" w:w="22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ruff</w:t>
            </w:r>
          </w:p>
        </w:tc>
        <w:tc>
          <w:tcPr>
            <w:tcW w:type="dxa" w:w="3413"/>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Linter ultra-rapide (remplace flake8 + isort)</w:t>
            </w:r>
          </w:p>
        </w:tc>
        <w:tc>
          <w:tcPr>
            <w:tcW w:type="dxa" w:w="3413"/>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iCs/>
                <w:color w:val="2C3E50"/>
                <w:sz w:val="19"/>
                <w:szCs w:val="19"/>
              </w:rPr>
              <w:t xml:space="preserve">ruff check . --fix</w:t>
            </w:r>
          </w:p>
        </w:tc>
      </w:tr>
      <w:tr>
        <w:tc>
          <w:tcPr>
            <w:tcW w:type="dxa" w:w="22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black</w:t>
            </w:r>
          </w:p>
        </w:tc>
        <w:tc>
          <w:tcPr>
            <w:tcW w:type="dxa" w:w="3413"/>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Formatage automatique</w:t>
            </w:r>
          </w:p>
        </w:tc>
        <w:tc>
          <w:tcPr>
            <w:tcW w:type="dxa" w:w="3413"/>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iCs/>
                <w:color w:val="2C3E50"/>
                <w:sz w:val="19"/>
                <w:szCs w:val="19"/>
              </w:rPr>
              <w:t xml:space="preserve">black . --line-length 100</w:t>
            </w:r>
          </w:p>
        </w:tc>
      </w:tr>
      <w:tr>
        <w:tc>
          <w:tcPr>
            <w:tcW w:type="dxa" w:w="22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mypy</w:t>
            </w:r>
          </w:p>
        </w:tc>
        <w:tc>
          <w:tcPr>
            <w:tcW w:type="dxa" w:w="3413"/>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Vérification des types statiques</w:t>
            </w:r>
          </w:p>
        </w:tc>
        <w:tc>
          <w:tcPr>
            <w:tcW w:type="dxa" w:w="3413"/>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iCs/>
                <w:color w:val="2C3E50"/>
                <w:sz w:val="19"/>
                <w:szCs w:val="19"/>
              </w:rPr>
              <w:t xml:space="preserve">mypy app/ --strict</w:t>
            </w:r>
          </w:p>
        </w:tc>
      </w:tr>
      <w:tr>
        <w:tc>
          <w:tcPr>
            <w:tcW w:type="dxa" w:w="22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bandit</w:t>
            </w:r>
          </w:p>
        </w:tc>
        <w:tc>
          <w:tcPr>
            <w:tcW w:type="dxa" w:w="3413"/>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Analyse de sécurité du code Python</w:t>
            </w:r>
          </w:p>
        </w:tc>
        <w:tc>
          <w:tcPr>
            <w:tcW w:type="dxa" w:w="3413"/>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iCs/>
                <w:color w:val="2C3E50"/>
                <w:sz w:val="19"/>
                <w:szCs w:val="19"/>
              </w:rPr>
              <w:t xml:space="preserve">bandit -r app/</w:t>
            </w:r>
          </w:p>
        </w:tc>
      </w:tr>
      <w:tr>
        <w:tc>
          <w:tcPr>
            <w:tcW w:type="dxa" w:w="22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pre-commit</w:t>
            </w:r>
          </w:p>
        </w:tc>
        <w:tc>
          <w:tcPr>
            <w:tcW w:type="dxa" w:w="3413"/>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Exécute tous les checks avant chaque commit</w:t>
            </w:r>
          </w:p>
        </w:tc>
        <w:tc>
          <w:tcPr>
            <w:tcW w:type="dxa" w:w="3413"/>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iCs/>
                <w:color w:val="2C3E50"/>
                <w:sz w:val="19"/>
                <w:szCs w:val="19"/>
              </w:rPr>
              <w:t xml:space="preserve">.pre-commit-config.yaml</w:t>
            </w:r>
          </w:p>
        </w:tc>
      </w:tr>
    </w:tbl>
    <w:p>
      <w:pPr>
        <w:spacing w:before="200" w:after="0"/>
      </w:pPr>
    </w:p>
    <w:p>
      <w:pPr>
        <w:pStyle w:val="Heading2"/>
      </w:pPr>
      <w:r>
        <w:rPr>
          <w:rFonts w:ascii="Arial" w:cs="Arial" w:eastAsia="Arial" w:hAnsi="Arial"/>
          <w:b/>
          <w:bCs/>
          <w:color w:val="1A56A0"/>
          <w:sz w:val="28"/>
          <w:szCs w:val="28"/>
        </w:rPr>
        <w:t xml:space="preserve">9.3 Pipeline CI/CD</w:t>
      </w:r>
    </w:p>
    <w:p>
      <w:pPr>
        <w:spacing w:after="160" w:before="80"/>
      </w:pPr>
      <w:r>
        <w:rPr>
          <w:rFonts w:ascii="Arial" w:cs="Arial" w:eastAsia="Arial" w:hAnsi="Arial"/>
          <w:color w:val="2C3E50"/>
          <w:sz w:val="22"/>
          <w:szCs w:val="22"/>
        </w:rPr>
        <w:t xml:space="preserve">Automatiser build, tests, analyse et déploiement via GitHub Actions ou Gitea CI. Le pipeline garantit qu’aucun code non testé ou non validé ne part en production.</w:t>
      </w:r>
    </w:p>
    <w:p>
      <w:pPr>
        <w:spacing w:before="12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00"/>
        <w:gridCol w:w="8826"/>
      </w:tblGrid>
      <w:tr>
        <w:tc>
          <w:tcPr>
            <w:tcW w:type="dxa" w:w="200"/>
            <w:tcBorders>
              <w:top w:val="none" w:color="FFFFFF" w:sz="0"/>
              <w:left w:val="single" w:color="1A56A0" w:sz="16"/>
              <w:bottom w:val="none" w:color="FFFFFF" w:sz="0"/>
              <w:right w:val="none" w:color="FFFFFF" w:sz="0"/>
            </w:tcBorders>
            <w:shd w:fill="EBF5FB" w:val="clear"/>
            <w:tcMar>
              <w:top w:type="dxa" w:w="100"/>
              <w:left w:type="dxa" w:w="120"/>
              <w:bottom w:type="dxa" w:w="100"/>
              <w:right w:type="dxa" w:w="0"/>
            </w:tcMar>
          </w:tcPr>
          <w:p/>
        </w:tc>
        <w:tc>
          <w:tcPr>
            <w:tcW w:type="dxa" w:w="8826"/>
            <w:tcBorders>
              <w:top w:val="none" w:color="FFFFFF" w:sz="0"/>
              <w:left w:val="none" w:color="FFFFFF" w:sz="0"/>
              <w:bottom w:val="none" w:color="FFFFFF" w:sz="0"/>
              <w:right w:val="none" w:color="FFFFFF" w:sz="0"/>
            </w:tcBorders>
            <w:shd w:fill="EBF5FB" w:val="clear"/>
            <w:tcMar>
              <w:top w:type="dxa" w:w="120"/>
              <w:left w:type="dxa" w:w="160"/>
              <w:bottom w:type="dxa" w:w="120"/>
              <w:right w:type="dxa" w:w="160"/>
            </w:tcMar>
          </w:tcPr>
          <w:p>
            <w:pPr>
              <w:spacing w:after="60"/>
            </w:pPr>
            <w:r>
              <w:rPr>
                <w:rFonts w:ascii="Arial" w:cs="Arial" w:eastAsia="Arial" w:hAnsi="Arial"/>
                <w:color w:val="2C3E50"/>
                <w:sz w:val="20"/>
                <w:szCs w:val="20"/>
              </w:rPr>
              <w:t xml:space="preserve">Sur chaque Pull Request : ruff + mypy + bandit + tests unitaires + tests d’intégration</w:t>
            </w:r>
          </w:p>
          <w:p>
            <w:pPr>
              <w:spacing w:after="60"/>
            </w:pPr>
            <w:r>
              <w:rPr>
                <w:rFonts w:ascii="Arial" w:cs="Arial" w:eastAsia="Arial" w:hAnsi="Arial"/>
                <w:color w:val="2C3E50"/>
                <w:sz w:val="20"/>
                <w:szCs w:val="20"/>
              </w:rPr>
              <w:t xml:space="preserve">Sur merge main : build image Docker + push registry + déploiement staging automatique</w:t>
            </w:r>
          </w:p>
          <w:p>
            <w:pPr>
              <w:spacing w:after="60"/>
            </w:pPr>
            <w:r>
              <w:rPr>
                <w:rFonts w:ascii="Arial" w:cs="Arial" w:eastAsia="Arial" w:hAnsi="Arial"/>
                <w:color w:val="2C3E50"/>
                <w:sz w:val="20"/>
                <w:szCs w:val="20"/>
              </w:rPr>
              <w:t xml:space="preserve">Sur tag release : déploiement production avec approbation manuelle</w:t>
            </w:r>
          </w:p>
          <w:p>
            <w:pPr>
              <w:spacing w:after="60"/>
            </w:pPr>
            <w:r>
              <w:rPr>
                <w:rFonts w:ascii="Arial" w:cs="Arial" w:eastAsia="Arial" w:hAnsi="Arial"/>
                <w:color w:val="2C3E50"/>
                <w:sz w:val="20"/>
                <w:szCs w:val="20"/>
              </w:rPr>
              <w:t xml:space="preserve">Rapports : couverture de tests publiée sur chaque PR, alertes Slack si échec</w:t>
            </w:r>
          </w:p>
        </w:tc>
      </w:tr>
    </w:tbl>
    <w:p>
      <w:r>
        <w:br w:type="page"/>
      </w:r>
    </w:p>
    <w:p>
      <w:pPr>
        <w:pStyle w:val="Heading1"/>
      </w:pPr>
      <w:r>
        <w:rPr>
          <w:rFonts w:ascii="Arial" w:cs="Arial" w:eastAsia="Arial" w:hAnsi="Arial"/>
          <w:b/>
          <w:bCs/>
          <w:color w:val="1A56A0"/>
          <w:sz w:val="36"/>
          <w:szCs w:val="36"/>
        </w:rPr>
        <w:t xml:space="preserve">10. Feuille de route proposée</w:t>
      </w:r>
    </w:p>
    <w:p>
      <w:pPr>
        <w:pBdr>
          <w:bottom w:val="single" w:color="1A56A0" w:sz="8" w:space="1"/>
        </w:pBdr>
        <w:spacing w:after="200"/>
      </w:pPr>
    </w:p>
    <w:p>
      <w:pPr>
        <w:spacing w:after="160" w:before="80"/>
      </w:pPr>
      <w:r>
        <w:rPr>
          <w:rFonts w:ascii="Arial" w:cs="Arial" w:eastAsia="Arial" w:hAnsi="Arial"/>
          <w:color w:val="2C3E50"/>
          <w:sz w:val="22"/>
          <w:szCs w:val="22"/>
        </w:rPr>
        <w:t xml:space="preserve">Les 8 axes ont été organisés en trois phases. Chaque phase est indépendante et livre de la valeur. Les phases ne se bloquent pas mutuellement, certains travaux peuvent commencer en parallèle.</w:t>
      </w:r>
    </w:p>
    <w:p>
      <w:pPr>
        <w:spacing w:before="160" w:after="0"/>
      </w:pPr>
    </w:p>
    <w:p>
      <w:pPr>
        <w:pStyle w:val="Heading2"/>
      </w:pPr>
      <w:r>
        <w:rPr>
          <w:rFonts w:ascii="Arial" w:cs="Arial" w:eastAsia="Arial" w:hAnsi="Arial"/>
          <w:b/>
          <w:bCs/>
          <w:color w:val="1A56A0"/>
          <w:sz w:val="28"/>
          <w:szCs w:val="28"/>
        </w:rPr>
        <w:t xml:space="preserve">Phase 1 — Fondations sécurité (Semaines 1–3)</w:t>
      </w:r>
    </w:p>
    <w:p>
      <w:pPr>
        <w:spacing w:before="10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00"/>
        <w:gridCol w:w="3926"/>
        <w:gridCol w:w="1600"/>
        <w:gridCol w:w="1600"/>
        <w:gridCol w:w="1500"/>
      </w:tblGrid>
      <w:tr>
        <w:trPr>
          <w:tblHeader/>
        </w:trPr>
        <w:tc>
          <w:tcPr>
            <w:tcW w:type="dxa" w:w="400"/>
            <w:tcBorders>
              <w:top w:val="single" w:color="3A7DBF" w:sz="4"/>
              <w:left w:val="single" w:color="3A7DBF" w:sz="4"/>
              <w:bottom w:val="single" w:color="3A7DBF" w:sz="4"/>
              <w:right w:val="single" w:color="3A7DBF" w:sz="4"/>
            </w:tcBorders>
            <w:shd w:fill="1A56A0" w:val="clear"/>
            <w:tcMar>
              <w:top w:type="dxa" w:w="100"/>
              <w:left w:type="dxa" w:w="120"/>
              <w:bottom w:type="dxa" w:w="100"/>
              <w:right w:type="dxa" w:w="120"/>
            </w:tcMar>
            <w:vAlign w:val="center"/>
          </w:tcPr>
          <w:p>
            <w:pPr>
              <w:jc w:val="center"/>
            </w:pPr>
            <w:r>
              <w:rPr>
                <w:rFonts w:ascii="Arial" w:cs="Arial" w:eastAsia="Arial" w:hAnsi="Arial"/>
                <w:b/>
                <w:bCs/>
                <w:color w:val="FFFFFF"/>
                <w:sz w:val="20"/>
                <w:szCs w:val="20"/>
              </w:rPr>
              <w:t xml:space="preserve">#</w:t>
            </w:r>
          </w:p>
        </w:tc>
        <w:tc>
          <w:tcPr>
            <w:tcW w:type="dxa" w:w="3926"/>
            <w:tcBorders>
              <w:top w:val="single" w:color="3A7DBF" w:sz="4"/>
              <w:left w:val="single" w:color="3A7DBF" w:sz="4"/>
              <w:bottom w:val="single" w:color="3A7DBF" w:sz="4"/>
              <w:right w:val="single" w:color="3A7DBF" w:sz="4"/>
            </w:tcBorders>
            <w:shd w:fill="1A56A0" w:val="clear"/>
            <w:tcMar>
              <w:top w:type="dxa" w:w="100"/>
              <w:left w:type="dxa" w:w="120"/>
              <w:bottom w:type="dxa" w:w="100"/>
              <w:right w:type="dxa" w:w="120"/>
            </w:tcMar>
            <w:vAlign w:val="center"/>
          </w:tcPr>
          <w:p>
            <w:pPr>
              <w:jc w:val="center"/>
            </w:pPr>
            <w:r>
              <w:rPr>
                <w:rFonts w:ascii="Arial" w:cs="Arial" w:eastAsia="Arial" w:hAnsi="Arial"/>
                <w:b/>
                <w:bCs/>
                <w:color w:val="FFFFFF"/>
                <w:sz w:val="20"/>
                <w:szCs w:val="20"/>
              </w:rPr>
              <w:t xml:space="preserve">Livrable</w:t>
            </w:r>
          </w:p>
        </w:tc>
        <w:tc>
          <w:tcPr>
            <w:tcW w:type="dxa" w:w="1600"/>
            <w:tcBorders>
              <w:top w:val="single" w:color="3A7DBF" w:sz="4"/>
              <w:left w:val="single" w:color="3A7DBF" w:sz="4"/>
              <w:bottom w:val="single" w:color="3A7DBF" w:sz="4"/>
              <w:right w:val="single" w:color="3A7DBF" w:sz="4"/>
            </w:tcBorders>
            <w:shd w:fill="1A56A0" w:val="clear"/>
            <w:tcMar>
              <w:top w:type="dxa" w:w="100"/>
              <w:left w:type="dxa" w:w="120"/>
              <w:bottom w:type="dxa" w:w="100"/>
              <w:right w:type="dxa" w:w="120"/>
            </w:tcMar>
            <w:vAlign w:val="center"/>
          </w:tcPr>
          <w:p>
            <w:pPr>
              <w:jc w:val="center"/>
            </w:pPr>
            <w:r>
              <w:rPr>
                <w:rFonts w:ascii="Arial" w:cs="Arial" w:eastAsia="Arial" w:hAnsi="Arial"/>
                <w:b/>
                <w:bCs/>
                <w:color w:val="FFFFFF"/>
                <w:sz w:val="20"/>
                <w:szCs w:val="20"/>
              </w:rPr>
              <w:t xml:space="preserve">Axe</w:t>
            </w:r>
          </w:p>
        </w:tc>
        <w:tc>
          <w:tcPr>
            <w:tcW w:type="dxa" w:w="1600"/>
            <w:tcBorders>
              <w:top w:val="single" w:color="3A7DBF" w:sz="4"/>
              <w:left w:val="single" w:color="3A7DBF" w:sz="4"/>
              <w:bottom w:val="single" w:color="3A7DBF" w:sz="4"/>
              <w:right w:val="single" w:color="3A7DBF" w:sz="4"/>
            </w:tcBorders>
            <w:shd w:fill="1A56A0" w:val="clear"/>
            <w:tcMar>
              <w:top w:type="dxa" w:w="100"/>
              <w:left w:type="dxa" w:w="120"/>
              <w:bottom w:type="dxa" w:w="100"/>
              <w:right w:type="dxa" w:w="120"/>
            </w:tcMar>
            <w:vAlign w:val="center"/>
          </w:tcPr>
          <w:p>
            <w:pPr>
              <w:jc w:val="center"/>
            </w:pPr>
            <w:r>
              <w:rPr>
                <w:rFonts w:ascii="Arial" w:cs="Arial" w:eastAsia="Arial" w:hAnsi="Arial"/>
                <w:b/>
                <w:bCs/>
                <w:color w:val="FFFFFF"/>
                <w:sz w:val="20"/>
                <w:szCs w:val="20"/>
              </w:rPr>
              <w:t xml:space="preserve">Effort</w:t>
            </w:r>
          </w:p>
        </w:tc>
        <w:tc>
          <w:tcPr>
            <w:tcW w:type="dxa" w:w="1500"/>
            <w:tcBorders>
              <w:top w:val="single" w:color="3A7DBF" w:sz="4"/>
              <w:left w:val="single" w:color="3A7DBF" w:sz="4"/>
              <w:bottom w:val="single" w:color="3A7DBF" w:sz="4"/>
              <w:right w:val="single" w:color="3A7DBF" w:sz="4"/>
            </w:tcBorders>
            <w:shd w:fill="1A56A0" w:val="clear"/>
            <w:tcMar>
              <w:top w:type="dxa" w:w="100"/>
              <w:left w:type="dxa" w:w="120"/>
              <w:bottom w:type="dxa" w:w="100"/>
              <w:right w:type="dxa" w:w="120"/>
            </w:tcMar>
            <w:vAlign w:val="center"/>
          </w:tcPr>
          <w:p>
            <w:pPr>
              <w:jc w:val="center"/>
            </w:pPr>
            <w:r>
              <w:rPr>
                <w:rFonts w:ascii="Arial" w:cs="Arial" w:eastAsia="Arial" w:hAnsi="Arial"/>
                <w:b/>
                <w:bCs/>
                <w:color w:val="FFFFFF"/>
                <w:sz w:val="20"/>
                <w:szCs w:val="20"/>
              </w:rPr>
              <w:t xml:space="preserve">Priorité</w:t>
            </w:r>
          </w:p>
        </w:tc>
      </w:tr>
      <w:tr>
        <w:tc>
          <w:tcPr>
            <w:tcW w:type="dxa" w:w="4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center"/>
            </w:pPr>
            <w:r>
              <w:rPr>
                <w:rFonts w:ascii="Arial" w:cs="Arial" w:eastAsia="Arial" w:hAnsi="Arial"/>
                <w:b w:val="false"/>
                <w:bCs w:val="false"/>
                <w:i w:val="false"/>
                <w:iCs w:val="false"/>
                <w:color w:val="2C3E50"/>
                <w:sz w:val="19"/>
                <w:szCs w:val="19"/>
              </w:rPr>
              <w:t xml:space="preserve">1.1</w:t>
            </w:r>
          </w:p>
        </w:tc>
        <w:tc>
          <w:tcPr>
            <w:tcW w:type="dxa" w:w="3926"/>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Authentification API Keys + JWT avec scopes</w:t>
            </w:r>
          </w:p>
        </w:tc>
        <w:tc>
          <w:tcPr>
            <w:tcW w:type="dxa" w:w="16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center"/>
            </w:pPr>
            <w:r>
              <w:rPr>
                <w:rFonts w:ascii="Arial" w:cs="Arial" w:eastAsia="Arial" w:hAnsi="Arial"/>
                <w:b w:val="false"/>
                <w:bCs w:val="false"/>
                <w:i w:val="false"/>
                <w:iCs w:val="false"/>
                <w:color w:val="2C3E50"/>
                <w:sz w:val="19"/>
                <w:szCs w:val="19"/>
              </w:rPr>
              <w:t xml:space="preserve">Axe 1</w:t>
            </w:r>
          </w:p>
        </w:tc>
        <w:tc>
          <w:tcPr>
            <w:tcW w:type="dxa" w:w="16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center"/>
            </w:pPr>
            <w:r>
              <w:rPr>
                <w:rFonts w:ascii="Arial" w:cs="Arial" w:eastAsia="Arial" w:hAnsi="Arial"/>
                <w:b w:val="false"/>
                <w:bCs w:val="false"/>
                <w:i w:val="false"/>
                <w:iCs w:val="false"/>
                <w:color w:val="2C3E50"/>
                <w:sz w:val="19"/>
                <w:szCs w:val="19"/>
              </w:rPr>
              <w:t xml:space="preserve">3–5 jours</w:t>
            </w:r>
          </w:p>
        </w:tc>
        <w:tc>
          <w:tcPr>
            <w:tcW w:type="dxa" w:w="1500"/>
            <w:tcBorders>
              <w:top w:val="single" w:color="D5D8DC" w:sz="4"/>
              <w:left w:val="single" w:color="D5D8DC" w:sz="4"/>
              <w:bottom w:val="single" w:color="D5D8DC" w:sz="4"/>
              <w:right w:val="single" w:color="D5D8DC" w:sz="4"/>
            </w:tcBorders>
            <w:shd w:fill="FADBD8" w:val="clear"/>
            <w:tcMar>
              <w:top w:type="dxa" w:w="80"/>
              <w:left w:type="dxa" w:w="120"/>
              <w:bottom w:type="dxa" w:w="80"/>
              <w:right w:type="dxa" w:w="120"/>
            </w:tcMar>
            <w:vAlign w:val="center"/>
          </w:tcPr>
          <w:p>
            <w:pPr>
              <w:jc w:val="center"/>
            </w:pPr>
            <w:r>
              <w:rPr>
                <w:rFonts w:ascii="Arial" w:cs="Arial" w:eastAsia="Arial" w:hAnsi="Arial"/>
                <w:b/>
                <w:bCs/>
                <w:color w:val="C0392B"/>
                <w:sz w:val="18"/>
                <w:szCs w:val="18"/>
              </w:rPr>
              <w:t xml:space="preserve">Critique</w:t>
            </w:r>
          </w:p>
        </w:tc>
      </w:tr>
      <w:tr>
        <w:tc>
          <w:tcPr>
            <w:tcW w:type="dxa" w:w="400"/>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center"/>
            </w:pPr>
            <w:r>
              <w:rPr>
                <w:rFonts w:ascii="Arial" w:cs="Arial" w:eastAsia="Arial" w:hAnsi="Arial"/>
                <w:b w:val="false"/>
                <w:bCs w:val="false"/>
                <w:i w:val="false"/>
                <w:iCs w:val="false"/>
                <w:color w:val="2C3E50"/>
                <w:sz w:val="19"/>
                <w:szCs w:val="19"/>
              </w:rPr>
              <w:t xml:space="preserve">1.2</w:t>
            </w:r>
          </w:p>
        </w:tc>
        <w:tc>
          <w:tcPr>
            <w:tcW w:type="dxa" w:w="3926"/>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Modèle clients + isolation des données</w:t>
            </w:r>
          </w:p>
        </w:tc>
        <w:tc>
          <w:tcPr>
            <w:tcW w:type="dxa" w:w="1600"/>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center"/>
            </w:pPr>
            <w:r>
              <w:rPr>
                <w:rFonts w:ascii="Arial" w:cs="Arial" w:eastAsia="Arial" w:hAnsi="Arial"/>
                <w:b w:val="false"/>
                <w:bCs w:val="false"/>
                <w:i w:val="false"/>
                <w:iCs w:val="false"/>
                <w:color w:val="2C3E50"/>
                <w:sz w:val="19"/>
                <w:szCs w:val="19"/>
              </w:rPr>
              <w:t xml:space="preserve">Axe 2</w:t>
            </w:r>
          </w:p>
        </w:tc>
        <w:tc>
          <w:tcPr>
            <w:tcW w:type="dxa" w:w="1600"/>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center"/>
            </w:pPr>
            <w:r>
              <w:rPr>
                <w:rFonts w:ascii="Arial" w:cs="Arial" w:eastAsia="Arial" w:hAnsi="Arial"/>
                <w:b w:val="false"/>
                <w:bCs w:val="false"/>
                <w:i w:val="false"/>
                <w:iCs w:val="false"/>
                <w:color w:val="2C3E50"/>
                <w:sz w:val="19"/>
                <w:szCs w:val="19"/>
              </w:rPr>
              <w:t xml:space="preserve">5–7 jours</w:t>
            </w:r>
          </w:p>
        </w:tc>
        <w:tc>
          <w:tcPr>
            <w:tcW w:type="dxa" w:w="1500"/>
            <w:tcBorders>
              <w:top w:val="single" w:color="D5D8DC" w:sz="4"/>
              <w:left w:val="single" w:color="D5D8DC" w:sz="4"/>
              <w:bottom w:val="single" w:color="D5D8DC" w:sz="4"/>
              <w:right w:val="single" w:color="D5D8DC" w:sz="4"/>
            </w:tcBorders>
            <w:shd w:fill="FADBD8" w:val="clear"/>
            <w:tcMar>
              <w:top w:type="dxa" w:w="80"/>
              <w:left w:type="dxa" w:w="120"/>
              <w:bottom w:type="dxa" w:w="80"/>
              <w:right w:type="dxa" w:w="120"/>
            </w:tcMar>
            <w:vAlign w:val="center"/>
          </w:tcPr>
          <w:p>
            <w:pPr>
              <w:jc w:val="center"/>
            </w:pPr>
            <w:r>
              <w:rPr>
                <w:rFonts w:ascii="Arial" w:cs="Arial" w:eastAsia="Arial" w:hAnsi="Arial"/>
                <w:b/>
                <w:bCs/>
                <w:color w:val="C0392B"/>
                <w:sz w:val="18"/>
                <w:szCs w:val="18"/>
              </w:rPr>
              <w:t xml:space="preserve">Critique</w:t>
            </w:r>
          </w:p>
        </w:tc>
      </w:tr>
      <w:tr>
        <w:tc>
          <w:tcPr>
            <w:tcW w:type="dxa" w:w="4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center"/>
            </w:pPr>
            <w:r>
              <w:rPr>
                <w:rFonts w:ascii="Arial" w:cs="Arial" w:eastAsia="Arial" w:hAnsi="Arial"/>
                <w:b w:val="false"/>
                <w:bCs w:val="false"/>
                <w:i w:val="false"/>
                <w:iCs w:val="false"/>
                <w:color w:val="2C3E50"/>
                <w:sz w:val="19"/>
                <w:szCs w:val="19"/>
              </w:rPr>
              <w:t xml:space="preserve">1.3</w:t>
            </w:r>
          </w:p>
        </w:tc>
        <w:tc>
          <w:tcPr>
            <w:tcW w:type="dxa" w:w="3926"/>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Rate limiting par client et par endpoint</w:t>
            </w:r>
          </w:p>
        </w:tc>
        <w:tc>
          <w:tcPr>
            <w:tcW w:type="dxa" w:w="16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center"/>
            </w:pPr>
            <w:r>
              <w:rPr>
                <w:rFonts w:ascii="Arial" w:cs="Arial" w:eastAsia="Arial" w:hAnsi="Arial"/>
                <w:b w:val="false"/>
                <w:bCs w:val="false"/>
                <w:i w:val="false"/>
                <w:iCs w:val="false"/>
                <w:color w:val="2C3E50"/>
                <w:sz w:val="19"/>
                <w:szCs w:val="19"/>
              </w:rPr>
              <w:t xml:space="preserve">Axe 1</w:t>
            </w:r>
          </w:p>
        </w:tc>
        <w:tc>
          <w:tcPr>
            <w:tcW w:type="dxa" w:w="16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center"/>
            </w:pPr>
            <w:r>
              <w:rPr>
                <w:rFonts w:ascii="Arial" w:cs="Arial" w:eastAsia="Arial" w:hAnsi="Arial"/>
                <w:b w:val="false"/>
                <w:bCs w:val="false"/>
                <w:i w:val="false"/>
                <w:iCs w:val="false"/>
                <w:color w:val="2C3E50"/>
                <w:sz w:val="19"/>
                <w:szCs w:val="19"/>
              </w:rPr>
              <w:t xml:space="preserve">1–2 jours</w:t>
            </w:r>
          </w:p>
        </w:tc>
        <w:tc>
          <w:tcPr>
            <w:tcW w:type="dxa" w:w="1500"/>
            <w:tcBorders>
              <w:top w:val="single" w:color="D5D8DC" w:sz="4"/>
              <w:left w:val="single" w:color="D5D8DC" w:sz="4"/>
              <w:bottom w:val="single" w:color="D5D8DC" w:sz="4"/>
              <w:right w:val="single" w:color="D5D8DC" w:sz="4"/>
            </w:tcBorders>
            <w:shd w:fill="FDEBD0" w:val="clear"/>
            <w:tcMar>
              <w:top w:type="dxa" w:w="80"/>
              <w:left w:type="dxa" w:w="120"/>
              <w:bottom w:type="dxa" w:w="80"/>
              <w:right w:type="dxa" w:w="120"/>
            </w:tcMar>
            <w:vAlign w:val="center"/>
          </w:tcPr>
          <w:p>
            <w:pPr>
              <w:jc w:val="center"/>
            </w:pPr>
            <w:r>
              <w:rPr>
                <w:rFonts w:ascii="Arial" w:cs="Arial" w:eastAsia="Arial" w:hAnsi="Arial"/>
                <w:b/>
                <w:bCs/>
                <w:color w:val="E67E22"/>
                <w:sz w:val="18"/>
                <w:szCs w:val="18"/>
              </w:rPr>
              <w:t xml:space="preserve">Haute</w:t>
            </w:r>
          </w:p>
        </w:tc>
      </w:tr>
      <w:tr>
        <w:tc>
          <w:tcPr>
            <w:tcW w:type="dxa" w:w="400"/>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center"/>
            </w:pPr>
            <w:r>
              <w:rPr>
                <w:rFonts w:ascii="Arial" w:cs="Arial" w:eastAsia="Arial" w:hAnsi="Arial"/>
                <w:b w:val="false"/>
                <w:bCs w:val="false"/>
                <w:i w:val="false"/>
                <w:iCs w:val="false"/>
                <w:color w:val="2C3E50"/>
                <w:sz w:val="19"/>
                <w:szCs w:val="19"/>
              </w:rPr>
              <w:t xml:space="preserve">1.4</w:t>
            </w:r>
          </w:p>
        </w:tc>
        <w:tc>
          <w:tcPr>
            <w:tcW w:type="dxa" w:w="3926"/>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Tests d’intégration auth + multi-tenants</w:t>
            </w:r>
          </w:p>
        </w:tc>
        <w:tc>
          <w:tcPr>
            <w:tcW w:type="dxa" w:w="1600"/>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center"/>
            </w:pPr>
            <w:r>
              <w:rPr>
                <w:rFonts w:ascii="Arial" w:cs="Arial" w:eastAsia="Arial" w:hAnsi="Arial"/>
                <w:b w:val="false"/>
                <w:bCs w:val="false"/>
                <w:i w:val="false"/>
                <w:iCs w:val="false"/>
                <w:color w:val="2C3E50"/>
                <w:sz w:val="19"/>
                <w:szCs w:val="19"/>
              </w:rPr>
              <w:t xml:space="preserve">Axe 8</w:t>
            </w:r>
          </w:p>
        </w:tc>
        <w:tc>
          <w:tcPr>
            <w:tcW w:type="dxa" w:w="1600"/>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center"/>
            </w:pPr>
            <w:r>
              <w:rPr>
                <w:rFonts w:ascii="Arial" w:cs="Arial" w:eastAsia="Arial" w:hAnsi="Arial"/>
                <w:b w:val="false"/>
                <w:bCs w:val="false"/>
                <w:i w:val="false"/>
                <w:iCs w:val="false"/>
                <w:color w:val="2C3E50"/>
                <w:sz w:val="19"/>
                <w:szCs w:val="19"/>
              </w:rPr>
              <w:t xml:space="preserve">2–3 jours</w:t>
            </w:r>
          </w:p>
        </w:tc>
        <w:tc>
          <w:tcPr>
            <w:tcW w:type="dxa" w:w="1500"/>
            <w:tcBorders>
              <w:top w:val="single" w:color="D5D8DC" w:sz="4"/>
              <w:left w:val="single" w:color="D5D8DC" w:sz="4"/>
              <w:bottom w:val="single" w:color="D5D8DC" w:sz="4"/>
              <w:right w:val="single" w:color="D5D8DC" w:sz="4"/>
            </w:tcBorders>
            <w:shd w:fill="FDEBD0" w:val="clear"/>
            <w:tcMar>
              <w:top w:type="dxa" w:w="80"/>
              <w:left w:type="dxa" w:w="120"/>
              <w:bottom w:type="dxa" w:w="80"/>
              <w:right w:type="dxa" w:w="120"/>
            </w:tcMar>
            <w:vAlign w:val="center"/>
          </w:tcPr>
          <w:p>
            <w:pPr>
              <w:jc w:val="center"/>
            </w:pPr>
            <w:r>
              <w:rPr>
                <w:rFonts w:ascii="Arial" w:cs="Arial" w:eastAsia="Arial" w:hAnsi="Arial"/>
                <w:b/>
                <w:bCs/>
                <w:color w:val="E67E22"/>
                <w:sz w:val="18"/>
                <w:szCs w:val="18"/>
              </w:rPr>
              <w:t xml:space="preserve">Haute</w:t>
            </w:r>
          </w:p>
        </w:tc>
      </w:tr>
    </w:tbl>
    <w:p>
      <w:pPr>
        <w:spacing w:before="240" w:after="0"/>
      </w:pPr>
    </w:p>
    <w:p>
      <w:pPr>
        <w:pStyle w:val="Heading2"/>
      </w:pPr>
      <w:r>
        <w:rPr>
          <w:rFonts w:ascii="Arial" w:cs="Arial" w:eastAsia="Arial" w:hAnsi="Arial"/>
          <w:b/>
          <w:bCs/>
          <w:color w:val="1A56A0"/>
          <w:sz w:val="28"/>
          <w:szCs w:val="28"/>
        </w:rPr>
        <w:t xml:space="preserve">Phase 2 — Robustesse et scalabilité (Semaines 4–6)</w:t>
      </w:r>
    </w:p>
    <w:p>
      <w:pPr>
        <w:spacing w:before="10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00"/>
        <w:gridCol w:w="3926"/>
        <w:gridCol w:w="1600"/>
        <w:gridCol w:w="1600"/>
        <w:gridCol w:w="1500"/>
      </w:tblGrid>
      <w:tr>
        <w:trPr>
          <w:tblHeader/>
        </w:trPr>
        <w:tc>
          <w:tcPr>
            <w:tcW w:type="dxa" w:w="400"/>
            <w:tcBorders>
              <w:top w:val="single" w:color="3A7DBF" w:sz="4"/>
              <w:left w:val="single" w:color="3A7DBF" w:sz="4"/>
              <w:bottom w:val="single" w:color="3A7DBF" w:sz="4"/>
              <w:right w:val="single" w:color="3A7DBF" w:sz="4"/>
            </w:tcBorders>
            <w:shd w:fill="1A56A0" w:val="clear"/>
            <w:tcMar>
              <w:top w:type="dxa" w:w="100"/>
              <w:left w:type="dxa" w:w="120"/>
              <w:bottom w:type="dxa" w:w="100"/>
              <w:right w:type="dxa" w:w="120"/>
            </w:tcMar>
            <w:vAlign w:val="center"/>
          </w:tcPr>
          <w:p>
            <w:pPr>
              <w:jc w:val="center"/>
            </w:pPr>
            <w:r>
              <w:rPr>
                <w:rFonts w:ascii="Arial" w:cs="Arial" w:eastAsia="Arial" w:hAnsi="Arial"/>
                <w:b/>
                <w:bCs/>
                <w:color w:val="FFFFFF"/>
                <w:sz w:val="20"/>
                <w:szCs w:val="20"/>
              </w:rPr>
              <w:t xml:space="preserve">#</w:t>
            </w:r>
          </w:p>
        </w:tc>
        <w:tc>
          <w:tcPr>
            <w:tcW w:type="dxa" w:w="3926"/>
            <w:tcBorders>
              <w:top w:val="single" w:color="3A7DBF" w:sz="4"/>
              <w:left w:val="single" w:color="3A7DBF" w:sz="4"/>
              <w:bottom w:val="single" w:color="3A7DBF" w:sz="4"/>
              <w:right w:val="single" w:color="3A7DBF" w:sz="4"/>
            </w:tcBorders>
            <w:shd w:fill="1A56A0" w:val="clear"/>
            <w:tcMar>
              <w:top w:type="dxa" w:w="100"/>
              <w:left w:type="dxa" w:w="120"/>
              <w:bottom w:type="dxa" w:w="100"/>
              <w:right w:type="dxa" w:w="120"/>
            </w:tcMar>
            <w:vAlign w:val="center"/>
          </w:tcPr>
          <w:p>
            <w:pPr>
              <w:jc w:val="center"/>
            </w:pPr>
            <w:r>
              <w:rPr>
                <w:rFonts w:ascii="Arial" w:cs="Arial" w:eastAsia="Arial" w:hAnsi="Arial"/>
                <w:b/>
                <w:bCs/>
                <w:color w:val="FFFFFF"/>
                <w:sz w:val="20"/>
                <w:szCs w:val="20"/>
              </w:rPr>
              <w:t xml:space="preserve">Livrable</w:t>
            </w:r>
          </w:p>
        </w:tc>
        <w:tc>
          <w:tcPr>
            <w:tcW w:type="dxa" w:w="1600"/>
            <w:tcBorders>
              <w:top w:val="single" w:color="3A7DBF" w:sz="4"/>
              <w:left w:val="single" w:color="3A7DBF" w:sz="4"/>
              <w:bottom w:val="single" w:color="3A7DBF" w:sz="4"/>
              <w:right w:val="single" w:color="3A7DBF" w:sz="4"/>
            </w:tcBorders>
            <w:shd w:fill="1A56A0" w:val="clear"/>
            <w:tcMar>
              <w:top w:type="dxa" w:w="100"/>
              <w:left w:type="dxa" w:w="120"/>
              <w:bottom w:type="dxa" w:w="100"/>
              <w:right w:type="dxa" w:w="120"/>
            </w:tcMar>
            <w:vAlign w:val="center"/>
          </w:tcPr>
          <w:p>
            <w:pPr>
              <w:jc w:val="center"/>
            </w:pPr>
            <w:r>
              <w:rPr>
                <w:rFonts w:ascii="Arial" w:cs="Arial" w:eastAsia="Arial" w:hAnsi="Arial"/>
                <w:b/>
                <w:bCs/>
                <w:color w:val="FFFFFF"/>
                <w:sz w:val="20"/>
                <w:szCs w:val="20"/>
              </w:rPr>
              <w:t xml:space="preserve">Axe</w:t>
            </w:r>
          </w:p>
        </w:tc>
        <w:tc>
          <w:tcPr>
            <w:tcW w:type="dxa" w:w="1600"/>
            <w:tcBorders>
              <w:top w:val="single" w:color="3A7DBF" w:sz="4"/>
              <w:left w:val="single" w:color="3A7DBF" w:sz="4"/>
              <w:bottom w:val="single" w:color="3A7DBF" w:sz="4"/>
              <w:right w:val="single" w:color="3A7DBF" w:sz="4"/>
            </w:tcBorders>
            <w:shd w:fill="1A56A0" w:val="clear"/>
            <w:tcMar>
              <w:top w:type="dxa" w:w="100"/>
              <w:left w:type="dxa" w:w="120"/>
              <w:bottom w:type="dxa" w:w="100"/>
              <w:right w:type="dxa" w:w="120"/>
            </w:tcMar>
            <w:vAlign w:val="center"/>
          </w:tcPr>
          <w:p>
            <w:pPr>
              <w:jc w:val="center"/>
            </w:pPr>
            <w:r>
              <w:rPr>
                <w:rFonts w:ascii="Arial" w:cs="Arial" w:eastAsia="Arial" w:hAnsi="Arial"/>
                <w:b/>
                <w:bCs/>
                <w:color w:val="FFFFFF"/>
                <w:sz w:val="20"/>
                <w:szCs w:val="20"/>
              </w:rPr>
              <w:t xml:space="preserve">Effort</w:t>
            </w:r>
          </w:p>
        </w:tc>
        <w:tc>
          <w:tcPr>
            <w:tcW w:type="dxa" w:w="1500"/>
            <w:tcBorders>
              <w:top w:val="single" w:color="3A7DBF" w:sz="4"/>
              <w:left w:val="single" w:color="3A7DBF" w:sz="4"/>
              <w:bottom w:val="single" w:color="3A7DBF" w:sz="4"/>
              <w:right w:val="single" w:color="3A7DBF" w:sz="4"/>
            </w:tcBorders>
            <w:shd w:fill="1A56A0" w:val="clear"/>
            <w:tcMar>
              <w:top w:type="dxa" w:w="100"/>
              <w:left w:type="dxa" w:w="120"/>
              <w:bottom w:type="dxa" w:w="100"/>
              <w:right w:type="dxa" w:w="120"/>
            </w:tcMar>
            <w:vAlign w:val="center"/>
          </w:tcPr>
          <w:p>
            <w:pPr>
              <w:jc w:val="center"/>
            </w:pPr>
            <w:r>
              <w:rPr>
                <w:rFonts w:ascii="Arial" w:cs="Arial" w:eastAsia="Arial" w:hAnsi="Arial"/>
                <w:b/>
                <w:bCs/>
                <w:color w:val="FFFFFF"/>
                <w:sz w:val="20"/>
                <w:szCs w:val="20"/>
              </w:rPr>
              <w:t xml:space="preserve">Priorité</w:t>
            </w:r>
          </w:p>
        </w:tc>
      </w:tr>
      <w:tr>
        <w:tc>
          <w:tcPr>
            <w:tcW w:type="dxa" w:w="4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center"/>
            </w:pPr>
            <w:r>
              <w:rPr>
                <w:rFonts w:ascii="Arial" w:cs="Arial" w:eastAsia="Arial" w:hAnsi="Arial"/>
                <w:b w:val="false"/>
                <w:bCs w:val="false"/>
                <w:i w:val="false"/>
                <w:iCs w:val="false"/>
                <w:color w:val="2C3E50"/>
                <w:sz w:val="19"/>
                <w:szCs w:val="19"/>
              </w:rPr>
              <w:t xml:space="preserve">2.1</w:t>
            </w:r>
          </w:p>
        </w:tc>
        <w:tc>
          <w:tcPr>
            <w:tcW w:type="dxa" w:w="3926"/>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Migration BackgroundTasks → ARQ + Redis</w:t>
            </w:r>
          </w:p>
        </w:tc>
        <w:tc>
          <w:tcPr>
            <w:tcW w:type="dxa" w:w="16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center"/>
            </w:pPr>
            <w:r>
              <w:rPr>
                <w:rFonts w:ascii="Arial" w:cs="Arial" w:eastAsia="Arial" w:hAnsi="Arial"/>
                <w:b w:val="false"/>
                <w:bCs w:val="false"/>
                <w:i w:val="false"/>
                <w:iCs w:val="false"/>
                <w:color w:val="2C3E50"/>
                <w:sz w:val="19"/>
                <w:szCs w:val="19"/>
              </w:rPr>
              <w:t xml:space="preserve">Axe 3</w:t>
            </w:r>
          </w:p>
        </w:tc>
        <w:tc>
          <w:tcPr>
            <w:tcW w:type="dxa" w:w="16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center"/>
            </w:pPr>
            <w:r>
              <w:rPr>
                <w:rFonts w:ascii="Arial" w:cs="Arial" w:eastAsia="Arial" w:hAnsi="Arial"/>
                <w:b w:val="false"/>
                <w:bCs w:val="false"/>
                <w:i w:val="false"/>
                <w:iCs w:val="false"/>
                <w:color w:val="2C3E50"/>
                <w:sz w:val="19"/>
                <w:szCs w:val="19"/>
              </w:rPr>
              <w:t xml:space="preserve">4–5 jours</w:t>
            </w:r>
          </w:p>
        </w:tc>
        <w:tc>
          <w:tcPr>
            <w:tcW w:type="dxa" w:w="1500"/>
            <w:tcBorders>
              <w:top w:val="single" w:color="D5D8DC" w:sz="4"/>
              <w:left w:val="single" w:color="D5D8DC" w:sz="4"/>
              <w:bottom w:val="single" w:color="D5D8DC" w:sz="4"/>
              <w:right w:val="single" w:color="D5D8DC" w:sz="4"/>
            </w:tcBorders>
            <w:shd w:fill="FDEBD0" w:val="clear"/>
            <w:tcMar>
              <w:top w:type="dxa" w:w="80"/>
              <w:left w:type="dxa" w:w="120"/>
              <w:bottom w:type="dxa" w:w="80"/>
              <w:right w:type="dxa" w:w="120"/>
            </w:tcMar>
            <w:vAlign w:val="center"/>
          </w:tcPr>
          <w:p>
            <w:pPr>
              <w:jc w:val="center"/>
            </w:pPr>
            <w:r>
              <w:rPr>
                <w:rFonts w:ascii="Arial" w:cs="Arial" w:eastAsia="Arial" w:hAnsi="Arial"/>
                <w:b/>
                <w:bCs/>
                <w:color w:val="E67E22"/>
                <w:sz w:val="18"/>
                <w:szCs w:val="18"/>
              </w:rPr>
              <w:t xml:space="preserve">Haute</w:t>
            </w:r>
          </w:p>
        </w:tc>
      </w:tr>
      <w:tr>
        <w:tc>
          <w:tcPr>
            <w:tcW w:type="dxa" w:w="400"/>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center"/>
            </w:pPr>
            <w:r>
              <w:rPr>
                <w:rFonts w:ascii="Arial" w:cs="Arial" w:eastAsia="Arial" w:hAnsi="Arial"/>
                <w:b w:val="false"/>
                <w:bCs w:val="false"/>
                <w:i w:val="false"/>
                <w:iCs w:val="false"/>
                <w:color w:val="2C3E50"/>
                <w:sz w:val="19"/>
                <w:szCs w:val="19"/>
              </w:rPr>
              <w:t xml:space="preserve">2.2</w:t>
            </w:r>
          </w:p>
        </w:tc>
        <w:tc>
          <w:tcPr>
            <w:tcW w:type="dxa" w:w="3926"/>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Abstraction StorageBackend + support MinIO/S3</w:t>
            </w:r>
          </w:p>
        </w:tc>
        <w:tc>
          <w:tcPr>
            <w:tcW w:type="dxa" w:w="1600"/>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center"/>
            </w:pPr>
            <w:r>
              <w:rPr>
                <w:rFonts w:ascii="Arial" w:cs="Arial" w:eastAsia="Arial" w:hAnsi="Arial"/>
                <w:b w:val="false"/>
                <w:bCs w:val="false"/>
                <w:i w:val="false"/>
                <w:iCs w:val="false"/>
                <w:color w:val="2C3E50"/>
                <w:sz w:val="19"/>
                <w:szCs w:val="19"/>
              </w:rPr>
              <w:t xml:space="preserve">Axe 4</w:t>
            </w:r>
          </w:p>
        </w:tc>
        <w:tc>
          <w:tcPr>
            <w:tcW w:type="dxa" w:w="1600"/>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center"/>
            </w:pPr>
            <w:r>
              <w:rPr>
                <w:rFonts w:ascii="Arial" w:cs="Arial" w:eastAsia="Arial" w:hAnsi="Arial"/>
                <w:b w:val="false"/>
                <w:bCs w:val="false"/>
                <w:i w:val="false"/>
                <w:iCs w:val="false"/>
                <w:color w:val="2C3E50"/>
                <w:sz w:val="19"/>
                <w:szCs w:val="19"/>
              </w:rPr>
              <w:t xml:space="preserve">3–4 jours</w:t>
            </w:r>
          </w:p>
        </w:tc>
        <w:tc>
          <w:tcPr>
            <w:tcW w:type="dxa" w:w="1500"/>
            <w:tcBorders>
              <w:top w:val="single" w:color="D5D8DC" w:sz="4"/>
              <w:left w:val="single" w:color="D5D8DC" w:sz="4"/>
              <w:bottom w:val="single" w:color="D5D8DC" w:sz="4"/>
              <w:right w:val="single" w:color="D5D8DC" w:sz="4"/>
            </w:tcBorders>
            <w:shd w:fill="FDEBD0" w:val="clear"/>
            <w:tcMar>
              <w:top w:type="dxa" w:w="80"/>
              <w:left w:type="dxa" w:w="120"/>
              <w:bottom w:type="dxa" w:w="80"/>
              <w:right w:type="dxa" w:w="120"/>
            </w:tcMar>
            <w:vAlign w:val="center"/>
          </w:tcPr>
          <w:p>
            <w:pPr>
              <w:jc w:val="center"/>
            </w:pPr>
            <w:r>
              <w:rPr>
                <w:rFonts w:ascii="Arial" w:cs="Arial" w:eastAsia="Arial" w:hAnsi="Arial"/>
                <w:b/>
                <w:bCs/>
                <w:color w:val="E67E22"/>
                <w:sz w:val="18"/>
                <w:szCs w:val="18"/>
              </w:rPr>
              <w:t xml:space="preserve">Haute</w:t>
            </w:r>
          </w:p>
        </w:tc>
      </w:tr>
      <w:tr>
        <w:tc>
          <w:tcPr>
            <w:tcW w:type="dxa" w:w="4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center"/>
            </w:pPr>
            <w:r>
              <w:rPr>
                <w:rFonts w:ascii="Arial" w:cs="Arial" w:eastAsia="Arial" w:hAnsi="Arial"/>
                <w:b w:val="false"/>
                <w:bCs w:val="false"/>
                <w:i w:val="false"/>
                <w:iCs w:val="false"/>
                <w:color w:val="2C3E50"/>
                <w:sz w:val="19"/>
                <w:szCs w:val="19"/>
              </w:rPr>
              <w:t xml:space="preserve">2.3</w:t>
            </w:r>
          </w:p>
        </w:tc>
        <w:tc>
          <w:tcPr>
            <w:tcW w:type="dxa" w:w="3926"/>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URLs signées pour accès aux fichiers</w:t>
            </w:r>
          </w:p>
        </w:tc>
        <w:tc>
          <w:tcPr>
            <w:tcW w:type="dxa" w:w="16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center"/>
            </w:pPr>
            <w:r>
              <w:rPr>
                <w:rFonts w:ascii="Arial" w:cs="Arial" w:eastAsia="Arial" w:hAnsi="Arial"/>
                <w:b w:val="false"/>
                <w:bCs w:val="false"/>
                <w:i w:val="false"/>
                <w:iCs w:val="false"/>
                <w:color w:val="2C3E50"/>
                <w:sz w:val="19"/>
                <w:szCs w:val="19"/>
              </w:rPr>
              <w:t xml:space="preserve">Axe 4</w:t>
            </w:r>
          </w:p>
        </w:tc>
        <w:tc>
          <w:tcPr>
            <w:tcW w:type="dxa" w:w="16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center"/>
            </w:pPr>
            <w:r>
              <w:rPr>
                <w:rFonts w:ascii="Arial" w:cs="Arial" w:eastAsia="Arial" w:hAnsi="Arial"/>
                <w:b w:val="false"/>
                <w:bCs w:val="false"/>
                <w:i w:val="false"/>
                <w:iCs w:val="false"/>
                <w:color w:val="2C3E50"/>
                <w:sz w:val="19"/>
                <w:szCs w:val="19"/>
              </w:rPr>
              <w:t xml:space="preserve">1–2 jours</w:t>
            </w:r>
          </w:p>
        </w:tc>
        <w:tc>
          <w:tcPr>
            <w:tcW w:type="dxa" w:w="1500"/>
            <w:tcBorders>
              <w:top w:val="single" w:color="D5D8DC" w:sz="4"/>
              <w:left w:val="single" w:color="D5D8DC" w:sz="4"/>
              <w:bottom w:val="single" w:color="D5D8DC" w:sz="4"/>
              <w:right w:val="single" w:color="D5D8DC" w:sz="4"/>
            </w:tcBorders>
            <w:shd w:fill="FDEBD0" w:val="clear"/>
            <w:tcMar>
              <w:top w:type="dxa" w:w="80"/>
              <w:left w:type="dxa" w:w="120"/>
              <w:bottom w:type="dxa" w:w="80"/>
              <w:right w:type="dxa" w:w="120"/>
            </w:tcMar>
            <w:vAlign w:val="center"/>
          </w:tcPr>
          <w:p>
            <w:pPr>
              <w:jc w:val="center"/>
            </w:pPr>
            <w:r>
              <w:rPr>
                <w:rFonts w:ascii="Arial" w:cs="Arial" w:eastAsia="Arial" w:hAnsi="Arial"/>
                <w:b/>
                <w:bCs/>
                <w:color w:val="E67E22"/>
                <w:sz w:val="18"/>
                <w:szCs w:val="18"/>
              </w:rPr>
              <w:t xml:space="preserve">Haute</w:t>
            </w:r>
          </w:p>
        </w:tc>
      </w:tr>
      <w:tr>
        <w:tc>
          <w:tcPr>
            <w:tcW w:type="dxa" w:w="400"/>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center"/>
            </w:pPr>
            <w:r>
              <w:rPr>
                <w:rFonts w:ascii="Arial" w:cs="Arial" w:eastAsia="Arial" w:hAnsi="Arial"/>
                <w:b w:val="false"/>
                <w:bCs w:val="false"/>
                <w:i w:val="false"/>
                <w:iCs w:val="false"/>
                <w:color w:val="2C3E50"/>
                <w:sz w:val="19"/>
                <w:szCs w:val="19"/>
              </w:rPr>
              <w:t xml:space="preserve">2.4</w:t>
            </w:r>
          </w:p>
        </w:tc>
        <w:tc>
          <w:tcPr>
            <w:tcW w:type="dxa" w:w="3926"/>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Logs structurés (structlog) + métriques Prometheus</w:t>
            </w:r>
          </w:p>
        </w:tc>
        <w:tc>
          <w:tcPr>
            <w:tcW w:type="dxa" w:w="1600"/>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center"/>
            </w:pPr>
            <w:r>
              <w:rPr>
                <w:rFonts w:ascii="Arial" w:cs="Arial" w:eastAsia="Arial" w:hAnsi="Arial"/>
                <w:b w:val="false"/>
                <w:bCs w:val="false"/>
                <w:i w:val="false"/>
                <w:iCs w:val="false"/>
                <w:color w:val="2C3E50"/>
                <w:sz w:val="19"/>
                <w:szCs w:val="19"/>
              </w:rPr>
              <w:t xml:space="preserve">Axe 6</w:t>
            </w:r>
          </w:p>
        </w:tc>
        <w:tc>
          <w:tcPr>
            <w:tcW w:type="dxa" w:w="1600"/>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center"/>
            </w:pPr>
            <w:r>
              <w:rPr>
                <w:rFonts w:ascii="Arial" w:cs="Arial" w:eastAsia="Arial" w:hAnsi="Arial"/>
                <w:b w:val="false"/>
                <w:bCs w:val="false"/>
                <w:i w:val="false"/>
                <w:iCs w:val="false"/>
                <w:color w:val="2C3E50"/>
                <w:sz w:val="19"/>
                <w:szCs w:val="19"/>
              </w:rPr>
              <w:t xml:space="preserve">3–4 jours</w:t>
            </w:r>
          </w:p>
        </w:tc>
        <w:tc>
          <w:tcPr>
            <w:tcW w:type="dxa" w:w="1500"/>
            <w:tcBorders>
              <w:top w:val="single" w:color="D5D8DC" w:sz="4"/>
              <w:left w:val="single" w:color="D5D8DC" w:sz="4"/>
              <w:bottom w:val="single" w:color="D5D8DC" w:sz="4"/>
              <w:right w:val="single" w:color="D5D8DC" w:sz="4"/>
            </w:tcBorders>
            <w:shd w:fill="D5F5E3" w:val="clear"/>
            <w:tcMar>
              <w:top w:type="dxa" w:w="80"/>
              <w:left w:type="dxa" w:w="120"/>
              <w:bottom w:type="dxa" w:w="80"/>
              <w:right w:type="dxa" w:w="120"/>
            </w:tcMar>
            <w:vAlign w:val="center"/>
          </w:tcPr>
          <w:p>
            <w:pPr>
              <w:jc w:val="center"/>
            </w:pPr>
            <w:r>
              <w:rPr>
                <w:rFonts w:ascii="Arial" w:cs="Arial" w:eastAsia="Arial" w:hAnsi="Arial"/>
                <w:b/>
                <w:bCs/>
                <w:color w:val="1E8449"/>
                <w:sz w:val="18"/>
                <w:szCs w:val="18"/>
              </w:rPr>
              <w:t xml:space="preserve">Moyenne</w:t>
            </w:r>
          </w:p>
        </w:tc>
      </w:tr>
      <w:tr>
        <w:tc>
          <w:tcPr>
            <w:tcW w:type="dxa" w:w="4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center"/>
            </w:pPr>
            <w:r>
              <w:rPr>
                <w:rFonts w:ascii="Arial" w:cs="Arial" w:eastAsia="Arial" w:hAnsi="Arial"/>
                <w:b w:val="false"/>
                <w:bCs w:val="false"/>
                <w:i w:val="false"/>
                <w:iCs w:val="false"/>
                <w:color w:val="2C3E50"/>
                <w:sz w:val="19"/>
                <w:szCs w:val="19"/>
              </w:rPr>
              <w:t xml:space="preserve">2.5</w:t>
            </w:r>
          </w:p>
        </w:tc>
        <w:tc>
          <w:tcPr>
            <w:tcW w:type="dxa" w:w="3926"/>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CI/CD complet avec GitHub Actions</w:t>
            </w:r>
          </w:p>
        </w:tc>
        <w:tc>
          <w:tcPr>
            <w:tcW w:type="dxa" w:w="16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center"/>
            </w:pPr>
            <w:r>
              <w:rPr>
                <w:rFonts w:ascii="Arial" w:cs="Arial" w:eastAsia="Arial" w:hAnsi="Arial"/>
                <w:b w:val="false"/>
                <w:bCs w:val="false"/>
                <w:i w:val="false"/>
                <w:iCs w:val="false"/>
                <w:color w:val="2C3E50"/>
                <w:sz w:val="19"/>
                <w:szCs w:val="19"/>
              </w:rPr>
              <w:t xml:space="preserve">Axe 8</w:t>
            </w:r>
          </w:p>
        </w:tc>
        <w:tc>
          <w:tcPr>
            <w:tcW w:type="dxa" w:w="16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center"/>
            </w:pPr>
            <w:r>
              <w:rPr>
                <w:rFonts w:ascii="Arial" w:cs="Arial" w:eastAsia="Arial" w:hAnsi="Arial"/>
                <w:b w:val="false"/>
                <w:bCs w:val="false"/>
                <w:i w:val="false"/>
                <w:iCs w:val="false"/>
                <w:color w:val="2C3E50"/>
                <w:sz w:val="19"/>
                <w:szCs w:val="19"/>
              </w:rPr>
              <w:t xml:space="preserve">2–3 jours</w:t>
            </w:r>
          </w:p>
        </w:tc>
        <w:tc>
          <w:tcPr>
            <w:tcW w:type="dxa" w:w="1500"/>
            <w:tcBorders>
              <w:top w:val="single" w:color="D5D8DC" w:sz="4"/>
              <w:left w:val="single" w:color="D5D8DC" w:sz="4"/>
              <w:bottom w:val="single" w:color="D5D8DC" w:sz="4"/>
              <w:right w:val="single" w:color="D5D8DC" w:sz="4"/>
            </w:tcBorders>
            <w:shd w:fill="FDEBD0" w:val="clear"/>
            <w:tcMar>
              <w:top w:type="dxa" w:w="80"/>
              <w:left w:type="dxa" w:w="120"/>
              <w:bottom w:type="dxa" w:w="80"/>
              <w:right w:type="dxa" w:w="120"/>
            </w:tcMar>
            <w:vAlign w:val="center"/>
          </w:tcPr>
          <w:p>
            <w:pPr>
              <w:jc w:val="center"/>
            </w:pPr>
            <w:r>
              <w:rPr>
                <w:rFonts w:ascii="Arial" w:cs="Arial" w:eastAsia="Arial" w:hAnsi="Arial"/>
                <w:b/>
                <w:bCs/>
                <w:color w:val="E67E22"/>
                <w:sz w:val="18"/>
                <w:szCs w:val="18"/>
              </w:rPr>
              <w:t xml:space="preserve">Haute</w:t>
            </w:r>
          </w:p>
        </w:tc>
      </w:tr>
    </w:tbl>
    <w:p>
      <w:pPr>
        <w:spacing w:before="240" w:after="0"/>
      </w:pPr>
    </w:p>
    <w:p>
      <w:pPr>
        <w:pStyle w:val="Heading2"/>
      </w:pPr>
      <w:r>
        <w:rPr>
          <w:rFonts w:ascii="Arial" w:cs="Arial" w:eastAsia="Arial" w:hAnsi="Arial"/>
          <w:b/>
          <w:bCs/>
          <w:color w:val="1A56A0"/>
          <w:sz w:val="28"/>
          <w:szCs w:val="28"/>
        </w:rPr>
        <w:t xml:space="preserve">Phase 3 — Expérience développeur (Semaines 7–10)</w:t>
      </w:r>
    </w:p>
    <w:p>
      <w:pPr>
        <w:spacing w:before="10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00"/>
        <w:gridCol w:w="3926"/>
        <w:gridCol w:w="1600"/>
        <w:gridCol w:w="1600"/>
        <w:gridCol w:w="1500"/>
      </w:tblGrid>
      <w:tr>
        <w:trPr>
          <w:tblHeader/>
        </w:trPr>
        <w:tc>
          <w:tcPr>
            <w:tcW w:type="dxa" w:w="400"/>
            <w:tcBorders>
              <w:top w:val="single" w:color="3A7DBF" w:sz="4"/>
              <w:left w:val="single" w:color="3A7DBF" w:sz="4"/>
              <w:bottom w:val="single" w:color="3A7DBF" w:sz="4"/>
              <w:right w:val="single" w:color="3A7DBF" w:sz="4"/>
            </w:tcBorders>
            <w:shd w:fill="1A56A0" w:val="clear"/>
            <w:tcMar>
              <w:top w:type="dxa" w:w="100"/>
              <w:left w:type="dxa" w:w="120"/>
              <w:bottom w:type="dxa" w:w="100"/>
              <w:right w:type="dxa" w:w="120"/>
            </w:tcMar>
            <w:vAlign w:val="center"/>
          </w:tcPr>
          <w:p>
            <w:pPr>
              <w:jc w:val="center"/>
            </w:pPr>
            <w:r>
              <w:rPr>
                <w:rFonts w:ascii="Arial" w:cs="Arial" w:eastAsia="Arial" w:hAnsi="Arial"/>
                <w:b/>
                <w:bCs/>
                <w:color w:val="FFFFFF"/>
                <w:sz w:val="20"/>
                <w:szCs w:val="20"/>
              </w:rPr>
              <w:t xml:space="preserve">#</w:t>
            </w:r>
          </w:p>
        </w:tc>
        <w:tc>
          <w:tcPr>
            <w:tcW w:type="dxa" w:w="3926"/>
            <w:tcBorders>
              <w:top w:val="single" w:color="3A7DBF" w:sz="4"/>
              <w:left w:val="single" w:color="3A7DBF" w:sz="4"/>
              <w:bottom w:val="single" w:color="3A7DBF" w:sz="4"/>
              <w:right w:val="single" w:color="3A7DBF" w:sz="4"/>
            </w:tcBorders>
            <w:shd w:fill="1A56A0" w:val="clear"/>
            <w:tcMar>
              <w:top w:type="dxa" w:w="100"/>
              <w:left w:type="dxa" w:w="120"/>
              <w:bottom w:type="dxa" w:w="100"/>
              <w:right w:type="dxa" w:w="120"/>
            </w:tcMar>
            <w:vAlign w:val="center"/>
          </w:tcPr>
          <w:p>
            <w:pPr>
              <w:jc w:val="center"/>
            </w:pPr>
            <w:r>
              <w:rPr>
                <w:rFonts w:ascii="Arial" w:cs="Arial" w:eastAsia="Arial" w:hAnsi="Arial"/>
                <w:b/>
                <w:bCs/>
                <w:color w:val="FFFFFF"/>
                <w:sz w:val="20"/>
                <w:szCs w:val="20"/>
              </w:rPr>
              <w:t xml:space="preserve">Livrable</w:t>
            </w:r>
          </w:p>
        </w:tc>
        <w:tc>
          <w:tcPr>
            <w:tcW w:type="dxa" w:w="1600"/>
            <w:tcBorders>
              <w:top w:val="single" w:color="3A7DBF" w:sz="4"/>
              <w:left w:val="single" w:color="3A7DBF" w:sz="4"/>
              <w:bottom w:val="single" w:color="3A7DBF" w:sz="4"/>
              <w:right w:val="single" w:color="3A7DBF" w:sz="4"/>
            </w:tcBorders>
            <w:shd w:fill="1A56A0" w:val="clear"/>
            <w:tcMar>
              <w:top w:type="dxa" w:w="100"/>
              <w:left w:type="dxa" w:w="120"/>
              <w:bottom w:type="dxa" w:w="100"/>
              <w:right w:type="dxa" w:w="120"/>
            </w:tcMar>
            <w:vAlign w:val="center"/>
          </w:tcPr>
          <w:p>
            <w:pPr>
              <w:jc w:val="center"/>
            </w:pPr>
            <w:r>
              <w:rPr>
                <w:rFonts w:ascii="Arial" w:cs="Arial" w:eastAsia="Arial" w:hAnsi="Arial"/>
                <w:b/>
                <w:bCs/>
                <w:color w:val="FFFFFF"/>
                <w:sz w:val="20"/>
                <w:szCs w:val="20"/>
              </w:rPr>
              <w:t xml:space="preserve">Axe</w:t>
            </w:r>
          </w:p>
        </w:tc>
        <w:tc>
          <w:tcPr>
            <w:tcW w:type="dxa" w:w="1600"/>
            <w:tcBorders>
              <w:top w:val="single" w:color="3A7DBF" w:sz="4"/>
              <w:left w:val="single" w:color="3A7DBF" w:sz="4"/>
              <w:bottom w:val="single" w:color="3A7DBF" w:sz="4"/>
              <w:right w:val="single" w:color="3A7DBF" w:sz="4"/>
            </w:tcBorders>
            <w:shd w:fill="1A56A0" w:val="clear"/>
            <w:tcMar>
              <w:top w:type="dxa" w:w="100"/>
              <w:left w:type="dxa" w:w="120"/>
              <w:bottom w:type="dxa" w:w="100"/>
              <w:right w:type="dxa" w:w="120"/>
            </w:tcMar>
            <w:vAlign w:val="center"/>
          </w:tcPr>
          <w:p>
            <w:pPr>
              <w:jc w:val="center"/>
            </w:pPr>
            <w:r>
              <w:rPr>
                <w:rFonts w:ascii="Arial" w:cs="Arial" w:eastAsia="Arial" w:hAnsi="Arial"/>
                <w:b/>
                <w:bCs/>
                <w:color w:val="FFFFFF"/>
                <w:sz w:val="20"/>
                <w:szCs w:val="20"/>
              </w:rPr>
              <w:t xml:space="preserve">Effort</w:t>
            </w:r>
          </w:p>
        </w:tc>
        <w:tc>
          <w:tcPr>
            <w:tcW w:type="dxa" w:w="1500"/>
            <w:tcBorders>
              <w:top w:val="single" w:color="3A7DBF" w:sz="4"/>
              <w:left w:val="single" w:color="3A7DBF" w:sz="4"/>
              <w:bottom w:val="single" w:color="3A7DBF" w:sz="4"/>
              <w:right w:val="single" w:color="3A7DBF" w:sz="4"/>
            </w:tcBorders>
            <w:shd w:fill="1A56A0" w:val="clear"/>
            <w:tcMar>
              <w:top w:type="dxa" w:w="100"/>
              <w:left w:type="dxa" w:w="120"/>
              <w:bottom w:type="dxa" w:w="100"/>
              <w:right w:type="dxa" w:w="120"/>
            </w:tcMar>
            <w:vAlign w:val="center"/>
          </w:tcPr>
          <w:p>
            <w:pPr>
              <w:jc w:val="center"/>
            </w:pPr>
            <w:r>
              <w:rPr>
                <w:rFonts w:ascii="Arial" w:cs="Arial" w:eastAsia="Arial" w:hAnsi="Arial"/>
                <w:b/>
                <w:bCs/>
                <w:color w:val="FFFFFF"/>
                <w:sz w:val="20"/>
                <w:szCs w:val="20"/>
              </w:rPr>
              <w:t xml:space="preserve">Priorité</w:t>
            </w:r>
          </w:p>
        </w:tc>
      </w:tr>
      <w:tr>
        <w:tc>
          <w:tcPr>
            <w:tcW w:type="dxa" w:w="4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center"/>
            </w:pPr>
            <w:r>
              <w:rPr>
                <w:rFonts w:ascii="Arial" w:cs="Arial" w:eastAsia="Arial" w:hAnsi="Arial"/>
                <w:b w:val="false"/>
                <w:bCs w:val="false"/>
                <w:i w:val="false"/>
                <w:iCs w:val="false"/>
                <w:color w:val="2C3E50"/>
                <w:sz w:val="19"/>
                <w:szCs w:val="19"/>
              </w:rPr>
              <w:t xml:space="preserve">3.1</w:t>
            </w:r>
          </w:p>
        </w:tc>
        <w:tc>
          <w:tcPr>
            <w:tcW w:type="dxa" w:w="3926"/>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WebSocket pipeline temps réel</w:t>
            </w:r>
          </w:p>
        </w:tc>
        <w:tc>
          <w:tcPr>
            <w:tcW w:type="dxa" w:w="16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center"/>
            </w:pPr>
            <w:r>
              <w:rPr>
                <w:rFonts w:ascii="Arial" w:cs="Arial" w:eastAsia="Arial" w:hAnsi="Arial"/>
                <w:b w:val="false"/>
                <w:bCs w:val="false"/>
                <w:i w:val="false"/>
                <w:iCs w:val="false"/>
                <w:color w:val="2C3E50"/>
                <w:sz w:val="19"/>
                <w:szCs w:val="19"/>
              </w:rPr>
              <w:t xml:space="preserve">Axe 5</w:t>
            </w:r>
          </w:p>
        </w:tc>
        <w:tc>
          <w:tcPr>
            <w:tcW w:type="dxa" w:w="16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center"/>
            </w:pPr>
            <w:r>
              <w:rPr>
                <w:rFonts w:ascii="Arial" w:cs="Arial" w:eastAsia="Arial" w:hAnsi="Arial"/>
                <w:b w:val="false"/>
                <w:bCs w:val="false"/>
                <w:i w:val="false"/>
                <w:iCs w:val="false"/>
                <w:color w:val="2C3E50"/>
                <w:sz w:val="19"/>
                <w:szCs w:val="19"/>
              </w:rPr>
              <w:t xml:space="preserve">2–3 jours</w:t>
            </w:r>
          </w:p>
        </w:tc>
        <w:tc>
          <w:tcPr>
            <w:tcW w:type="dxa" w:w="1500"/>
            <w:tcBorders>
              <w:top w:val="single" w:color="D5D8DC" w:sz="4"/>
              <w:left w:val="single" w:color="D5D8DC" w:sz="4"/>
              <w:bottom w:val="single" w:color="D5D8DC" w:sz="4"/>
              <w:right w:val="single" w:color="D5D8DC" w:sz="4"/>
            </w:tcBorders>
            <w:shd w:fill="D5F5E3" w:val="clear"/>
            <w:tcMar>
              <w:top w:type="dxa" w:w="80"/>
              <w:left w:type="dxa" w:w="120"/>
              <w:bottom w:type="dxa" w:w="80"/>
              <w:right w:type="dxa" w:w="120"/>
            </w:tcMar>
            <w:vAlign w:val="center"/>
          </w:tcPr>
          <w:p>
            <w:pPr>
              <w:jc w:val="center"/>
            </w:pPr>
            <w:r>
              <w:rPr>
                <w:rFonts w:ascii="Arial" w:cs="Arial" w:eastAsia="Arial" w:hAnsi="Arial"/>
                <w:b/>
                <w:bCs/>
                <w:color w:val="1E8449"/>
                <w:sz w:val="18"/>
                <w:szCs w:val="18"/>
              </w:rPr>
              <w:t xml:space="preserve">Moyenne</w:t>
            </w:r>
          </w:p>
        </w:tc>
      </w:tr>
      <w:tr>
        <w:tc>
          <w:tcPr>
            <w:tcW w:type="dxa" w:w="400"/>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center"/>
            </w:pPr>
            <w:r>
              <w:rPr>
                <w:rFonts w:ascii="Arial" w:cs="Arial" w:eastAsia="Arial" w:hAnsi="Arial"/>
                <w:b w:val="false"/>
                <w:bCs w:val="false"/>
                <w:i w:val="false"/>
                <w:iCs w:val="false"/>
                <w:color w:val="2C3E50"/>
                <w:sz w:val="19"/>
                <w:szCs w:val="19"/>
              </w:rPr>
              <w:t xml:space="preserve">3.2</w:t>
            </w:r>
          </w:p>
        </w:tc>
        <w:tc>
          <w:tcPr>
            <w:tcW w:type="dxa" w:w="3926"/>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API versioning /api/v1/ + politique de dépréciation</w:t>
            </w:r>
          </w:p>
        </w:tc>
        <w:tc>
          <w:tcPr>
            <w:tcW w:type="dxa" w:w="1600"/>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center"/>
            </w:pPr>
            <w:r>
              <w:rPr>
                <w:rFonts w:ascii="Arial" w:cs="Arial" w:eastAsia="Arial" w:hAnsi="Arial"/>
                <w:b w:val="false"/>
                <w:bCs w:val="false"/>
                <w:i w:val="false"/>
                <w:iCs w:val="false"/>
                <w:color w:val="2C3E50"/>
                <w:sz w:val="19"/>
                <w:szCs w:val="19"/>
              </w:rPr>
              <w:t xml:space="preserve">Axe 7</w:t>
            </w:r>
          </w:p>
        </w:tc>
        <w:tc>
          <w:tcPr>
            <w:tcW w:type="dxa" w:w="1600"/>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center"/>
            </w:pPr>
            <w:r>
              <w:rPr>
                <w:rFonts w:ascii="Arial" w:cs="Arial" w:eastAsia="Arial" w:hAnsi="Arial"/>
                <w:b w:val="false"/>
                <w:bCs w:val="false"/>
                <w:i w:val="false"/>
                <w:iCs w:val="false"/>
                <w:color w:val="2C3E50"/>
                <w:sz w:val="19"/>
                <w:szCs w:val="19"/>
              </w:rPr>
              <w:t xml:space="preserve">1–2 jours</w:t>
            </w:r>
          </w:p>
        </w:tc>
        <w:tc>
          <w:tcPr>
            <w:tcW w:type="dxa" w:w="1500"/>
            <w:tcBorders>
              <w:top w:val="single" w:color="D5D8DC" w:sz="4"/>
              <w:left w:val="single" w:color="D5D8DC" w:sz="4"/>
              <w:bottom w:val="single" w:color="D5D8DC" w:sz="4"/>
              <w:right w:val="single" w:color="D5D8DC" w:sz="4"/>
            </w:tcBorders>
            <w:shd w:fill="D5F5E3" w:val="clear"/>
            <w:tcMar>
              <w:top w:type="dxa" w:w="80"/>
              <w:left w:type="dxa" w:w="120"/>
              <w:bottom w:type="dxa" w:w="80"/>
              <w:right w:type="dxa" w:w="120"/>
            </w:tcMar>
            <w:vAlign w:val="center"/>
          </w:tcPr>
          <w:p>
            <w:pPr>
              <w:jc w:val="center"/>
            </w:pPr>
            <w:r>
              <w:rPr>
                <w:rFonts w:ascii="Arial" w:cs="Arial" w:eastAsia="Arial" w:hAnsi="Arial"/>
                <w:b/>
                <w:bCs/>
                <w:color w:val="1E8449"/>
                <w:sz w:val="18"/>
                <w:szCs w:val="18"/>
              </w:rPr>
              <w:t xml:space="preserve">Moyenne</w:t>
            </w:r>
          </w:p>
        </w:tc>
      </w:tr>
      <w:tr>
        <w:tc>
          <w:tcPr>
            <w:tcW w:type="dxa" w:w="4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center"/>
            </w:pPr>
            <w:r>
              <w:rPr>
                <w:rFonts w:ascii="Arial" w:cs="Arial" w:eastAsia="Arial" w:hAnsi="Arial"/>
                <w:b w:val="false"/>
                <w:bCs w:val="false"/>
                <w:i w:val="false"/>
                <w:iCs w:val="false"/>
                <w:color w:val="2C3E50"/>
                <w:sz w:val="19"/>
                <w:szCs w:val="19"/>
              </w:rPr>
              <w:t xml:space="preserve">3.3</w:t>
            </w:r>
          </w:p>
        </w:tc>
        <w:tc>
          <w:tcPr>
            <w:tcW w:type="dxa" w:w="3926"/>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SDK Python généré + publié sur PyPI</w:t>
            </w:r>
          </w:p>
        </w:tc>
        <w:tc>
          <w:tcPr>
            <w:tcW w:type="dxa" w:w="16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center"/>
            </w:pPr>
            <w:r>
              <w:rPr>
                <w:rFonts w:ascii="Arial" w:cs="Arial" w:eastAsia="Arial" w:hAnsi="Arial"/>
                <w:b w:val="false"/>
                <w:bCs w:val="false"/>
                <w:i w:val="false"/>
                <w:iCs w:val="false"/>
                <w:color w:val="2C3E50"/>
                <w:sz w:val="19"/>
                <w:szCs w:val="19"/>
              </w:rPr>
              <w:t xml:space="preserve">Axe 7</w:t>
            </w:r>
          </w:p>
        </w:tc>
        <w:tc>
          <w:tcPr>
            <w:tcW w:type="dxa" w:w="16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center"/>
            </w:pPr>
            <w:r>
              <w:rPr>
                <w:rFonts w:ascii="Arial" w:cs="Arial" w:eastAsia="Arial" w:hAnsi="Arial"/>
                <w:b w:val="false"/>
                <w:bCs w:val="false"/>
                <w:i w:val="false"/>
                <w:iCs w:val="false"/>
                <w:color w:val="2C3E50"/>
                <w:sz w:val="19"/>
                <w:szCs w:val="19"/>
              </w:rPr>
              <w:t xml:space="preserve">3–4 jours</w:t>
            </w:r>
          </w:p>
        </w:tc>
        <w:tc>
          <w:tcPr>
            <w:tcW w:type="dxa" w:w="1500"/>
            <w:tcBorders>
              <w:top w:val="single" w:color="D5D8DC" w:sz="4"/>
              <w:left w:val="single" w:color="D5D8DC" w:sz="4"/>
              <w:bottom w:val="single" w:color="D5D8DC" w:sz="4"/>
              <w:right w:val="single" w:color="D5D8DC" w:sz="4"/>
            </w:tcBorders>
            <w:shd w:fill="D5F5E3" w:val="clear"/>
            <w:tcMar>
              <w:top w:type="dxa" w:w="80"/>
              <w:left w:type="dxa" w:w="120"/>
              <w:bottom w:type="dxa" w:w="80"/>
              <w:right w:type="dxa" w:w="120"/>
            </w:tcMar>
            <w:vAlign w:val="center"/>
          </w:tcPr>
          <w:p>
            <w:pPr>
              <w:jc w:val="center"/>
            </w:pPr>
            <w:r>
              <w:rPr>
                <w:rFonts w:ascii="Arial" w:cs="Arial" w:eastAsia="Arial" w:hAnsi="Arial"/>
                <w:b/>
                <w:bCs/>
                <w:color w:val="1E8449"/>
                <w:sz w:val="18"/>
                <w:szCs w:val="18"/>
              </w:rPr>
              <w:t xml:space="preserve">Moyenne</w:t>
            </w:r>
          </w:p>
        </w:tc>
      </w:tr>
      <w:tr>
        <w:tc>
          <w:tcPr>
            <w:tcW w:type="dxa" w:w="400"/>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center"/>
            </w:pPr>
            <w:r>
              <w:rPr>
                <w:rFonts w:ascii="Arial" w:cs="Arial" w:eastAsia="Arial" w:hAnsi="Arial"/>
                <w:b w:val="false"/>
                <w:bCs w:val="false"/>
                <w:i w:val="false"/>
                <w:iCs w:val="false"/>
                <w:color w:val="2C3E50"/>
                <w:sz w:val="19"/>
                <w:szCs w:val="19"/>
              </w:rPr>
              <w:t xml:space="preserve">3.4</w:t>
            </w:r>
          </w:p>
        </w:tc>
        <w:tc>
          <w:tcPr>
            <w:tcW w:type="dxa" w:w="3926"/>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Dashboard admin (quotas, métriques, clients)</w:t>
            </w:r>
          </w:p>
        </w:tc>
        <w:tc>
          <w:tcPr>
            <w:tcW w:type="dxa" w:w="1600"/>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center"/>
            </w:pPr>
            <w:r>
              <w:rPr>
                <w:rFonts w:ascii="Arial" w:cs="Arial" w:eastAsia="Arial" w:hAnsi="Arial"/>
                <w:b w:val="false"/>
                <w:bCs w:val="false"/>
                <w:i w:val="false"/>
                <w:iCs w:val="false"/>
                <w:color w:val="2C3E50"/>
                <w:sz w:val="19"/>
                <w:szCs w:val="19"/>
              </w:rPr>
              <w:t xml:space="preserve">Axe 6</w:t>
            </w:r>
          </w:p>
        </w:tc>
        <w:tc>
          <w:tcPr>
            <w:tcW w:type="dxa" w:w="1600"/>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center"/>
            </w:pPr>
            <w:r>
              <w:rPr>
                <w:rFonts w:ascii="Arial" w:cs="Arial" w:eastAsia="Arial" w:hAnsi="Arial"/>
                <w:b w:val="false"/>
                <w:bCs w:val="false"/>
                <w:i w:val="false"/>
                <w:iCs w:val="false"/>
                <w:color w:val="2C3E50"/>
                <w:sz w:val="19"/>
                <w:szCs w:val="19"/>
              </w:rPr>
              <w:t xml:space="preserve">4–5 jours</w:t>
            </w:r>
          </w:p>
        </w:tc>
        <w:tc>
          <w:tcPr>
            <w:tcW w:type="dxa" w:w="1500"/>
            <w:tcBorders>
              <w:top w:val="single" w:color="D5D8DC" w:sz="4"/>
              <w:left w:val="single" w:color="D5D8DC" w:sz="4"/>
              <w:bottom w:val="single" w:color="D5D8DC" w:sz="4"/>
              <w:right w:val="single" w:color="D5D8DC" w:sz="4"/>
            </w:tcBorders>
            <w:shd w:fill="EBF5FB" w:val="clear"/>
            <w:tcMar>
              <w:top w:type="dxa" w:w="80"/>
              <w:left w:type="dxa" w:w="120"/>
              <w:bottom w:type="dxa" w:w="80"/>
              <w:right w:type="dxa" w:w="120"/>
            </w:tcMar>
            <w:vAlign w:val="center"/>
          </w:tcPr>
          <w:p>
            <w:pPr>
              <w:jc w:val="center"/>
            </w:pPr>
            <w:r>
              <w:rPr>
                <w:rFonts w:ascii="Arial" w:cs="Arial" w:eastAsia="Arial" w:hAnsi="Arial"/>
                <w:b/>
                <w:bCs/>
                <w:color w:val="1A56A0"/>
                <w:sz w:val="18"/>
                <w:szCs w:val="18"/>
              </w:rPr>
              <w:t xml:space="preserve">Faible</w:t>
            </w:r>
          </w:p>
        </w:tc>
      </w:tr>
      <w:tr>
        <w:tc>
          <w:tcPr>
            <w:tcW w:type="dxa" w:w="4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center"/>
            </w:pPr>
            <w:r>
              <w:rPr>
                <w:rFonts w:ascii="Arial" w:cs="Arial" w:eastAsia="Arial" w:hAnsi="Arial"/>
                <w:b w:val="false"/>
                <w:bCs w:val="false"/>
                <w:i w:val="false"/>
                <w:iCs w:val="false"/>
                <w:color w:val="2C3E50"/>
                <w:sz w:val="19"/>
                <w:szCs w:val="19"/>
              </w:rPr>
              <w:t xml:space="preserve">3.5</w:t>
            </w:r>
          </w:p>
        </w:tc>
        <w:tc>
          <w:tcPr>
            <w:tcW w:type="dxa" w:w="3926"/>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Intégration Shaarli complète + documentation</w:t>
            </w:r>
          </w:p>
        </w:tc>
        <w:tc>
          <w:tcPr>
            <w:tcW w:type="dxa" w:w="16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center"/>
            </w:pPr>
            <w:r>
              <w:rPr>
                <w:rFonts w:ascii="Arial" w:cs="Arial" w:eastAsia="Arial" w:hAnsi="Arial"/>
                <w:b w:val="false"/>
                <w:bCs w:val="false"/>
                <w:i w:val="false"/>
                <w:iCs w:val="false"/>
                <w:color w:val="2C3E50"/>
                <w:sz w:val="19"/>
                <w:szCs w:val="19"/>
              </w:rPr>
              <w:t xml:space="preserve">Axe 7</w:t>
            </w:r>
          </w:p>
        </w:tc>
        <w:tc>
          <w:tcPr>
            <w:tcW w:type="dxa" w:w="16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center"/>
            </w:pPr>
            <w:r>
              <w:rPr>
                <w:rFonts w:ascii="Arial" w:cs="Arial" w:eastAsia="Arial" w:hAnsi="Arial"/>
                <w:b w:val="false"/>
                <w:bCs w:val="false"/>
                <w:i w:val="false"/>
                <w:iCs w:val="false"/>
                <w:color w:val="2C3E50"/>
                <w:sz w:val="19"/>
                <w:szCs w:val="19"/>
              </w:rPr>
              <w:t xml:space="preserve">2–3 jours</w:t>
            </w:r>
          </w:p>
        </w:tc>
        <w:tc>
          <w:tcPr>
            <w:tcW w:type="dxa" w:w="1500"/>
            <w:tcBorders>
              <w:top w:val="single" w:color="D5D8DC" w:sz="4"/>
              <w:left w:val="single" w:color="D5D8DC" w:sz="4"/>
              <w:bottom w:val="single" w:color="D5D8DC" w:sz="4"/>
              <w:right w:val="single" w:color="D5D8DC" w:sz="4"/>
            </w:tcBorders>
            <w:shd w:fill="FDEBD0" w:val="clear"/>
            <w:tcMar>
              <w:top w:type="dxa" w:w="80"/>
              <w:left w:type="dxa" w:w="120"/>
              <w:bottom w:type="dxa" w:w="80"/>
              <w:right w:type="dxa" w:w="120"/>
            </w:tcMar>
            <w:vAlign w:val="center"/>
          </w:tcPr>
          <w:p>
            <w:pPr>
              <w:jc w:val="center"/>
            </w:pPr>
            <w:r>
              <w:rPr>
                <w:rFonts w:ascii="Arial" w:cs="Arial" w:eastAsia="Arial" w:hAnsi="Arial"/>
                <w:b/>
                <w:bCs/>
                <w:color w:val="E67E22"/>
                <w:sz w:val="18"/>
                <w:szCs w:val="18"/>
              </w:rPr>
              <w:t xml:space="preserve">Haute</w:t>
            </w:r>
          </w:p>
        </w:tc>
      </w:tr>
    </w:tbl>
    <w:p>
      <w:r>
        <w:br w:type="page"/>
      </w:r>
    </w:p>
    <w:p>
      <w:pPr>
        <w:pStyle w:val="Heading1"/>
      </w:pPr>
      <w:r>
        <w:rPr>
          <w:rFonts w:ascii="Arial" w:cs="Arial" w:eastAsia="Arial" w:hAnsi="Arial"/>
          <w:b/>
          <w:bCs/>
          <w:color w:val="1A56A0"/>
          <w:sz w:val="36"/>
          <w:szCs w:val="36"/>
        </w:rPr>
        <w:t xml:space="preserve">11. Stack technique finale recommandée</w:t>
      </w:r>
    </w:p>
    <w:p>
      <w:pPr>
        <w:pBdr>
          <w:bottom w:val="single" w:color="1A56A0" w:sz="8" w:space="1"/>
        </w:pBdr>
        <w:spacing w:after="200"/>
      </w:pPr>
    </w:p>
    <w:p>
      <w:pPr>
        <w:spacing w:after="160" w:before="80"/>
      </w:pPr>
      <w:r>
        <w:rPr>
          <w:rFonts w:ascii="Arial" w:cs="Arial" w:eastAsia="Arial" w:hAnsi="Arial"/>
          <w:color w:val="2C3E50"/>
          <w:sz w:val="22"/>
          <w:szCs w:val="22"/>
        </w:rPr>
        <w:t xml:space="preserve">La stack suivante est une évolution directe de la stack actuelle. Chaque ajout répond à un besoin identifié dans ce rapport. Rien n’est ajouté par effet de mode.</w:t>
      </w:r>
    </w:p>
    <w:p>
      <w:pPr>
        <w:spacing w:before="16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400"/>
        <w:gridCol w:w="2413"/>
        <w:gridCol w:w="4213"/>
      </w:tblGrid>
      <w:tr>
        <w:trPr>
          <w:tblHeader/>
        </w:trPr>
        <w:tc>
          <w:tcPr>
            <w:tcW w:type="dxa" w:w="2400"/>
            <w:tcBorders>
              <w:top w:val="single" w:color="3A7DBF" w:sz="4"/>
              <w:left w:val="single" w:color="3A7DBF" w:sz="4"/>
              <w:bottom w:val="single" w:color="3A7DBF" w:sz="4"/>
              <w:right w:val="single" w:color="3A7DBF" w:sz="4"/>
            </w:tcBorders>
            <w:shd w:fill="1A56A0" w:val="clear"/>
            <w:tcMar>
              <w:top w:type="dxa" w:w="100"/>
              <w:left w:type="dxa" w:w="120"/>
              <w:bottom w:type="dxa" w:w="100"/>
              <w:right w:type="dxa" w:w="120"/>
            </w:tcMar>
            <w:vAlign w:val="center"/>
          </w:tcPr>
          <w:p>
            <w:pPr>
              <w:jc w:val="center"/>
            </w:pPr>
            <w:r>
              <w:rPr>
                <w:rFonts w:ascii="Arial" w:cs="Arial" w:eastAsia="Arial" w:hAnsi="Arial"/>
                <w:b/>
                <w:bCs/>
                <w:color w:val="FFFFFF"/>
                <w:sz w:val="20"/>
                <w:szCs w:val="20"/>
              </w:rPr>
              <w:t xml:space="preserve">Couche</w:t>
            </w:r>
          </w:p>
        </w:tc>
        <w:tc>
          <w:tcPr>
            <w:tcW w:type="dxa" w:w="2413"/>
            <w:tcBorders>
              <w:top w:val="single" w:color="3A7DBF" w:sz="4"/>
              <w:left w:val="single" w:color="3A7DBF" w:sz="4"/>
              <w:bottom w:val="single" w:color="3A7DBF" w:sz="4"/>
              <w:right w:val="single" w:color="3A7DBF" w:sz="4"/>
            </w:tcBorders>
            <w:shd w:fill="1A56A0" w:val="clear"/>
            <w:tcMar>
              <w:top w:type="dxa" w:w="100"/>
              <w:left w:type="dxa" w:w="120"/>
              <w:bottom w:type="dxa" w:w="100"/>
              <w:right w:type="dxa" w:w="120"/>
            </w:tcMar>
            <w:vAlign w:val="center"/>
          </w:tcPr>
          <w:p>
            <w:pPr>
              <w:jc w:val="center"/>
            </w:pPr>
            <w:r>
              <w:rPr>
                <w:rFonts w:ascii="Arial" w:cs="Arial" w:eastAsia="Arial" w:hAnsi="Arial"/>
                <w:b/>
                <w:bCs/>
                <w:color w:val="FFFFFF"/>
                <w:sz w:val="20"/>
                <w:szCs w:val="20"/>
              </w:rPr>
              <w:t xml:space="preserve">Librairie</w:t>
            </w:r>
          </w:p>
        </w:tc>
        <w:tc>
          <w:tcPr>
            <w:tcW w:type="dxa" w:w="4213"/>
            <w:tcBorders>
              <w:top w:val="single" w:color="3A7DBF" w:sz="4"/>
              <w:left w:val="single" w:color="3A7DBF" w:sz="4"/>
              <w:bottom w:val="single" w:color="3A7DBF" w:sz="4"/>
              <w:right w:val="single" w:color="3A7DBF" w:sz="4"/>
            </w:tcBorders>
            <w:shd w:fill="1A56A0" w:val="clear"/>
            <w:tcMar>
              <w:top w:type="dxa" w:w="100"/>
              <w:left w:type="dxa" w:w="120"/>
              <w:bottom w:type="dxa" w:w="100"/>
              <w:right w:type="dxa" w:w="120"/>
            </w:tcMar>
            <w:vAlign w:val="center"/>
          </w:tcPr>
          <w:p>
            <w:pPr>
              <w:jc w:val="center"/>
            </w:pPr>
            <w:r>
              <w:rPr>
                <w:rFonts w:ascii="Arial" w:cs="Arial" w:eastAsia="Arial" w:hAnsi="Arial"/>
                <w:b/>
                <w:bCs/>
                <w:color w:val="FFFFFF"/>
                <w:sz w:val="20"/>
                <w:szCs w:val="20"/>
              </w:rPr>
              <w:t xml:space="preserve">Justification</w:t>
            </w:r>
          </w:p>
        </w:tc>
      </w:tr>
      <w:tr>
        <w:tc>
          <w:tcPr>
            <w:tcW w:type="dxa" w:w="24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Web Framework</w:t>
            </w:r>
          </w:p>
        </w:tc>
        <w:tc>
          <w:tcPr>
            <w:tcW w:type="dxa" w:w="2413"/>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FastAPI + Uvicorn</w:t>
            </w:r>
          </w:p>
        </w:tc>
        <w:tc>
          <w:tcPr>
            <w:tcW w:type="dxa" w:w="4213"/>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Déjà en place. Performance async excellente.</w:t>
            </w:r>
          </w:p>
        </w:tc>
      </w:tr>
      <w:tr>
        <w:tc>
          <w:tcPr>
            <w:tcW w:type="dxa" w:w="24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Base de données</w:t>
            </w:r>
          </w:p>
        </w:tc>
        <w:tc>
          <w:tcPr>
            <w:tcW w:type="dxa" w:w="2413"/>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SQLAlchemy async + Alembic</w:t>
            </w:r>
          </w:p>
        </w:tc>
        <w:tc>
          <w:tcPr>
            <w:tcW w:type="dxa" w:w="4213"/>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Déjà en place. Migrations propres.</w:t>
            </w:r>
          </w:p>
        </w:tc>
      </w:tr>
      <w:tr>
        <w:tc>
          <w:tcPr>
            <w:tcW w:type="dxa" w:w="24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File de tâches</w:t>
            </w:r>
          </w:p>
        </w:tc>
        <w:tc>
          <w:tcPr>
            <w:tcW w:type="dxa" w:w="2413"/>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ARQ + Redis</w:t>
            </w:r>
          </w:p>
        </w:tc>
        <w:tc>
          <w:tcPr>
            <w:tcW w:type="dxa" w:w="4213"/>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Pipeline robuste, retry, persistance, priorités.</w:t>
            </w:r>
          </w:p>
        </w:tc>
      </w:tr>
      <w:tr>
        <w:tc>
          <w:tcPr>
            <w:tcW w:type="dxa" w:w="24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Cache</w:t>
            </w:r>
          </w:p>
        </w:tc>
        <w:tc>
          <w:tcPr>
            <w:tcW w:type="dxa" w:w="2413"/>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Redis (partagé avec ARQ)</w:t>
            </w:r>
          </w:p>
        </w:tc>
        <w:tc>
          <w:tcPr>
            <w:tcW w:type="dxa" w:w="4213"/>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Cache résultats AI, sessions WebSocket.</w:t>
            </w:r>
          </w:p>
        </w:tc>
      </w:tr>
      <w:tr>
        <w:tc>
          <w:tcPr>
            <w:tcW w:type="dxa" w:w="24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Authentification</w:t>
            </w:r>
          </w:p>
        </w:tc>
        <w:tc>
          <w:tcPr>
            <w:tcW w:type="dxa" w:w="2413"/>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python-jose + passlib</w:t>
            </w:r>
          </w:p>
        </w:tc>
        <w:tc>
          <w:tcPr>
            <w:tcW w:type="dxa" w:w="4213"/>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JWT + hachage des API Keys.</w:t>
            </w:r>
          </w:p>
        </w:tc>
      </w:tr>
      <w:tr>
        <w:tc>
          <w:tcPr>
            <w:tcW w:type="dxa" w:w="24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Stockage fichiers</w:t>
            </w:r>
          </w:p>
        </w:tc>
        <w:tc>
          <w:tcPr>
            <w:tcW w:type="dxa" w:w="2413"/>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Local → MinIO → S3/R2</w:t>
            </w:r>
          </w:p>
        </w:tc>
        <w:tc>
          <w:tcPr>
            <w:tcW w:type="dxa" w:w="4213"/>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Interface abstraite. Migration transparente.</w:t>
            </w:r>
          </w:p>
        </w:tc>
      </w:tr>
      <w:tr>
        <w:tc>
          <w:tcPr>
            <w:tcW w:type="dxa" w:w="24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Traitement images</w:t>
            </w:r>
          </w:p>
        </w:tc>
        <w:tc>
          <w:tcPr>
            <w:tcW w:type="dxa" w:w="2413"/>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Pillow + piexif</w:t>
            </w:r>
          </w:p>
        </w:tc>
        <w:tc>
          <w:tcPr>
            <w:tcW w:type="dxa" w:w="4213"/>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Déjà en place.</w:t>
            </w:r>
          </w:p>
        </w:tc>
      </w:tr>
      <w:tr>
        <w:tc>
          <w:tcPr>
            <w:tcW w:type="dxa" w:w="24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OCR</w:t>
            </w:r>
          </w:p>
        </w:tc>
        <w:tc>
          <w:tcPr>
            <w:tcW w:type="dxa" w:w="2413"/>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pytesseract + Tesseract</w:t>
            </w:r>
          </w:p>
        </w:tc>
        <w:tc>
          <w:tcPr>
            <w:tcW w:type="dxa" w:w="4213"/>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Déjà en place.</w:t>
            </w:r>
          </w:p>
        </w:tc>
      </w:tr>
      <w:tr>
        <w:tc>
          <w:tcPr>
            <w:tcW w:type="dxa" w:w="24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Vision AI</w:t>
            </w:r>
          </w:p>
        </w:tc>
        <w:tc>
          <w:tcPr>
            <w:tcW w:type="dxa" w:w="2413"/>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Anthropic Claude (httpx)</w:t>
            </w:r>
          </w:p>
        </w:tc>
        <w:tc>
          <w:tcPr>
            <w:tcW w:type="dxa" w:w="4213"/>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Déjà en place. Abstraction multi-provider future.</w:t>
            </w:r>
          </w:p>
        </w:tc>
      </w:tr>
      <w:tr>
        <w:tc>
          <w:tcPr>
            <w:tcW w:type="dxa" w:w="24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Logs</w:t>
            </w:r>
          </w:p>
        </w:tc>
        <w:tc>
          <w:tcPr>
            <w:tcW w:type="dxa" w:w="2413"/>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structlog</w:t>
            </w:r>
          </w:p>
        </w:tc>
        <w:tc>
          <w:tcPr>
            <w:tcW w:type="dxa" w:w="4213"/>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JSON structuré, compatible Loki/Datadog.</w:t>
            </w:r>
          </w:p>
        </w:tc>
      </w:tr>
      <w:tr>
        <w:tc>
          <w:tcPr>
            <w:tcW w:type="dxa" w:w="24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Métriques</w:t>
            </w:r>
          </w:p>
        </w:tc>
        <w:tc>
          <w:tcPr>
            <w:tcW w:type="dxa" w:w="2413"/>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prometheus-fastapi-instrumentator</w:t>
            </w:r>
          </w:p>
        </w:tc>
        <w:tc>
          <w:tcPr>
            <w:tcW w:type="dxa" w:w="4213"/>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Exposition automatique des métriques HTTP.</w:t>
            </w:r>
          </w:p>
        </w:tc>
      </w:tr>
      <w:tr>
        <w:tc>
          <w:tcPr>
            <w:tcW w:type="dxa" w:w="24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Qualité code</w:t>
            </w:r>
          </w:p>
        </w:tc>
        <w:tc>
          <w:tcPr>
            <w:tcW w:type="dxa" w:w="2413"/>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ruff + black + mypy + bandit</w:t>
            </w:r>
          </w:p>
        </w:tc>
        <w:tc>
          <w:tcPr>
            <w:tcW w:type="dxa" w:w="4213"/>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Lint, format, types, sécurité.</w:t>
            </w:r>
          </w:p>
        </w:tc>
      </w:tr>
      <w:tr>
        <w:tc>
          <w:tcPr>
            <w:tcW w:type="dxa" w:w="24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Tests</w:t>
            </w:r>
          </w:p>
        </w:tc>
        <w:tc>
          <w:tcPr>
            <w:tcW w:type="dxa" w:w="2413"/>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pytest-asyncio + httpx</w:t>
            </w:r>
          </w:p>
        </w:tc>
        <w:tc>
          <w:tcPr>
            <w:tcW w:type="dxa" w:w="4213"/>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Tests unitaires et d’intégration async.</w:t>
            </w:r>
          </w:p>
        </w:tc>
      </w:tr>
      <w:tr>
        <w:tc>
          <w:tcPr>
            <w:tcW w:type="dxa" w:w="2400"/>
            <w:tcBorders>
              <w:top w:val="single" w:color="D5D8DC" w:sz="4"/>
              <w:left w:val="single" w:color="D5D8DC" w:sz="4"/>
              <w:bottom w:val="single" w:color="D5D8DC" w:sz="4"/>
              <w:right w:val="single" w:color="D5D8DC" w:sz="4"/>
            </w:tcBorders>
            <w:shd w:fill="FFFFFF" w:val="clear"/>
            <w:tcMar>
              <w:top w:type="dxa" w:w="80"/>
              <w:left w:type="dxa" w:w="120"/>
              <w:bottom w:type="dxa" w:w="80"/>
              <w:right w:type="dxa" w:w="120"/>
            </w:tcMar>
            <w:vAlign w:val="center"/>
          </w:tcPr>
          <w:p>
            <w:pPr>
              <w:jc w:val="left"/>
            </w:pPr>
            <w:r>
              <w:rPr>
                <w:rFonts w:ascii="Arial" w:cs="Arial" w:eastAsia="Arial" w:hAnsi="Arial"/>
                <w:b/>
                <w:bCs/>
                <w:i w:val="false"/>
                <w:iCs w:val="false"/>
                <w:color w:val="2C3E50"/>
                <w:sz w:val="19"/>
                <w:szCs w:val="19"/>
              </w:rPr>
              <w:t xml:space="preserve">CI/CD</w:t>
            </w:r>
          </w:p>
        </w:tc>
        <w:tc>
          <w:tcPr>
            <w:tcW w:type="dxa" w:w="2413"/>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GitHub Actions / Gitea CI</w:t>
            </w:r>
          </w:p>
        </w:tc>
        <w:tc>
          <w:tcPr>
            <w:tcW w:type="dxa" w:w="4213"/>
            <w:tcBorders>
              <w:top w:val="single" w:color="D5D8DC" w:sz="4"/>
              <w:left w:val="single" w:color="D5D8DC" w:sz="4"/>
              <w:bottom w:val="single" w:color="D5D8DC" w:sz="4"/>
              <w:right w:val="single" w:color="D5D8DC" w:sz="4"/>
            </w:tcBorders>
            <w:shd w:fill="F4F6F7" w:val="clear"/>
            <w:tcMar>
              <w:top w:type="dxa" w:w="80"/>
              <w:left w:type="dxa" w:w="120"/>
              <w:bottom w:type="dxa" w:w="80"/>
              <w:right w:type="dxa" w:w="120"/>
            </w:tcMar>
            <w:vAlign w:val="center"/>
          </w:tcPr>
          <w:p>
            <w:pPr>
              <w:jc w:val="left"/>
            </w:pPr>
            <w:r>
              <w:rPr>
                <w:rFonts w:ascii="Arial" w:cs="Arial" w:eastAsia="Arial" w:hAnsi="Arial"/>
                <w:b w:val="false"/>
                <w:bCs w:val="false"/>
                <w:i w:val="false"/>
                <w:iCs w:val="false"/>
                <w:color w:val="2C3E50"/>
                <w:sz w:val="19"/>
                <w:szCs w:val="19"/>
              </w:rPr>
              <w:t xml:space="preserve">Automatisation complète du cycle de vie.</w:t>
            </w:r>
          </w:p>
        </w:tc>
      </w:tr>
    </w:tbl>
    <w:p>
      <w:pPr>
        <w:spacing w:before="300" w:after="0"/>
      </w:pPr>
    </w:p>
    <w:p>
      <w:pPr>
        <w:pStyle w:val="Heading1"/>
      </w:pPr>
      <w:r>
        <w:rPr>
          <w:rFonts w:ascii="Arial" w:cs="Arial" w:eastAsia="Arial" w:hAnsi="Arial"/>
          <w:b/>
          <w:bCs/>
          <w:color w:val="1A56A0"/>
          <w:sz w:val="36"/>
          <w:szCs w:val="36"/>
        </w:rPr>
        <w:t xml:space="preserve">12. Conclusion</w:t>
      </w:r>
    </w:p>
    <w:p>
      <w:pPr>
        <w:pBdr>
          <w:bottom w:val="single" w:color="1A56A0" w:sz="8" w:space="1"/>
        </w:pBdr>
        <w:spacing w:after="200"/>
      </w:pPr>
    </w:p>
    <w:p>
      <w:pPr>
        <w:spacing w:after="160" w:before="80"/>
      </w:pPr>
      <w:r>
        <w:rPr>
          <w:rFonts w:ascii="Arial" w:cs="Arial" w:eastAsia="Arial" w:hAnsi="Arial"/>
          <w:color w:val="2C3E50"/>
          <w:sz w:val="22"/>
          <w:szCs w:val="22"/>
        </w:rPr>
        <w:t xml:space="preserve">Le backend Shaarli Image Hub dispose d’une base technique solide. L’architecture FastAPI + SQLAlchemy async est bien choisie et évolutive. Les services EXIF, OCR et Vision AI sont fonctionnels et bien découpés.</w:t>
      </w:r>
    </w:p>
    <w:p>
      <w:pPr>
        <w:spacing w:after="160" w:before="80"/>
      </w:pPr>
      <w:r>
        <w:rPr>
          <w:rFonts w:ascii="Arial" w:cs="Arial" w:eastAsia="Arial" w:hAnsi="Arial"/>
          <w:color w:val="2C3E50"/>
          <w:sz w:val="22"/>
          <w:szCs w:val="22"/>
        </w:rPr>
        <w:t xml:space="preserve">La priorité absolue est la sécurisation avant tout passage en production multi-clients. L’authentification et l’isolation des données par client (Phase 1) sont des prérequis non négociables. Ces deux axes représentent environ 10 jours de développement.</w:t>
      </w:r>
    </w:p>
    <w:p>
      <w:pPr>
        <w:spacing w:after="160" w:before="80"/>
      </w:pPr>
      <w:r>
        <w:rPr>
          <w:rFonts w:ascii="Arial" w:cs="Arial" w:eastAsia="Arial" w:hAnsi="Arial"/>
          <w:color w:val="2C3E50"/>
          <w:sz w:val="22"/>
          <w:szCs w:val="22"/>
        </w:rPr>
        <w:t xml:space="preserve">Une fois la sécurité en place, la Phase 2 transforme le backend en un service de production véritable avec un pipeline robuste, un stockage abstrait et un monitoring opérationnel. La Phase 3 améliore l’expérience des équipes qui intègrent le hub.</w:t>
      </w:r>
    </w:p>
    <w:p>
      <w:pPr>
        <w:spacing w:before="16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00"/>
        <w:gridCol w:w="8826"/>
      </w:tblGrid>
      <w:tr>
        <w:tc>
          <w:tcPr>
            <w:tcW w:type="dxa" w:w="200"/>
            <w:tcBorders>
              <w:top w:val="none" w:color="FFFFFF" w:sz="0"/>
              <w:left w:val="single" w:color="1E8449" w:sz="16"/>
              <w:bottom w:val="none" w:color="FFFFFF" w:sz="0"/>
              <w:right w:val="none" w:color="FFFFFF" w:sz="0"/>
            </w:tcBorders>
            <w:shd w:fill="D5F5E3" w:val="clear"/>
            <w:tcMar>
              <w:top w:type="dxa" w:w="100"/>
              <w:left w:type="dxa" w:w="120"/>
              <w:bottom w:type="dxa" w:w="100"/>
              <w:right w:type="dxa" w:w="0"/>
            </w:tcMar>
          </w:tcPr>
          <w:p/>
        </w:tc>
        <w:tc>
          <w:tcPr>
            <w:tcW w:type="dxa" w:w="8826"/>
            <w:tcBorders>
              <w:top w:val="none" w:color="FFFFFF" w:sz="0"/>
              <w:left w:val="none" w:color="FFFFFF" w:sz="0"/>
              <w:bottom w:val="none" w:color="FFFFFF" w:sz="0"/>
              <w:right w:val="none" w:color="FFFFFF" w:sz="0"/>
            </w:tcBorders>
            <w:shd w:fill="D5F5E3" w:val="clear"/>
            <w:tcMar>
              <w:top w:type="dxa" w:w="120"/>
              <w:left w:type="dxa" w:w="160"/>
              <w:bottom w:type="dxa" w:w="120"/>
              <w:right w:type="dxa" w:w="160"/>
            </w:tcMar>
          </w:tcPr>
          <w:p>
            <w:pPr>
              <w:spacing w:after="60"/>
            </w:pPr>
            <w:r>
              <w:rPr>
                <w:rFonts w:ascii="Arial" w:cs="Arial" w:eastAsia="Arial" w:hAnsi="Arial"/>
                <w:color w:val="2C3E50"/>
                <w:sz w:val="20"/>
                <w:szCs w:val="20"/>
              </w:rPr>
              <w:t xml:space="preserve">10 jours : Phase 1 complète — hub sécurisé et multi-clients opérationnel</w:t>
            </w:r>
          </w:p>
          <w:p>
            <w:pPr>
              <w:spacing w:after="60"/>
            </w:pPr>
            <w:r>
              <w:rPr>
                <w:rFonts w:ascii="Arial" w:cs="Arial" w:eastAsia="Arial" w:hAnsi="Arial"/>
                <w:color w:val="2C3E50"/>
                <w:sz w:val="20"/>
                <w:szCs w:val="20"/>
              </w:rPr>
              <w:t xml:space="preserve">20 jours : Phase 2 complète — hub production-ready, robuste et observable</w:t>
            </w:r>
          </w:p>
          <w:p>
            <w:pPr>
              <w:spacing w:after="60"/>
            </w:pPr>
            <w:r>
              <w:rPr>
                <w:rFonts w:ascii="Arial" w:cs="Arial" w:eastAsia="Arial" w:hAnsi="Arial"/>
                <w:color w:val="2C3E50"/>
                <w:sz w:val="20"/>
                <w:szCs w:val="20"/>
              </w:rPr>
              <w:t xml:space="preserve">30 jours : Phase 3 complète — hub avec SDK, WebSockets et intégration Shaarli finalisée</w:t>
            </w:r>
          </w:p>
        </w:tc>
      </w:tr>
    </w:tbl>
    <w:sectPr>
      <w:headerReference w:type="default" r:id="rId6"/>
      <w:footerReference w:type="default" r:id="rId7"/>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AEB6BF" w:sz="4" w:space="1"/>
      </w:pBdr>
      <w:spacing w:before="80"/>
      <w:jc w:val="center"/>
    </w:pPr>
    <w:r>
      <w:rPr>
        <w:rFonts w:ascii="Arial" w:cs="Arial" w:eastAsia="Arial" w:hAnsi="Arial"/>
        <w:color w:val="AEB6BF"/>
        <w:sz w:val="18"/>
        <w:szCs w:val="18"/>
      </w:rPr>
      <w:t xml:space="preserve">Confidentiel  —  Page </w:t>
    </w:r>
    <w:r>
      <w:rPr>
        <w:rFonts w:ascii="Arial" w:cs="Arial" w:eastAsia="Arial" w:hAnsi="Arial"/>
        <w:color w:val="AEB6BF"/>
        <w:sz w:val="18"/>
        <w:szCs w:val="18"/>
      </w:rPr>
      <w:fldChar w:fldCharType="begin"/>
      <w:instrText xml:space="preserve">PAGE</w:instrText>
      <w:fldChar w:fldCharType="separate"/>
      <w:fldChar w:fldCharType="end"/>
    </w:r>
    <w:r>
      <w:rPr>
        <w:rFonts w:ascii="Arial" w:cs="Arial" w:eastAsia="Arial" w:hAnsi="Arial"/>
        <w:color w:val="AEB6BF"/>
        <w:sz w:val="18"/>
        <w:szCs w:val="18"/>
      </w:rPr>
      <w:t xml:space="preserve"> sur </w:t>
    </w:r>
    <w:r>
      <w:rPr>
        <w:rFonts w:ascii="Arial" w:cs="Arial" w:eastAsia="Arial" w:hAnsi="Arial"/>
        <w:color w:val="AEB6BF"/>
        <w:sz w:val="18"/>
        <w:szCs w:val="18"/>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6000"/>
      <w:gridCol w:w="3026"/>
    </w:tblGrid>
    <w:tr>
      <w:tc>
        <w:tcPr>
          <w:tcW w:type="dxa" w:w="6000"/>
          <w:tcBorders>
            <w:top w:val="none" w:color="FFFFFF" w:sz="0"/>
            <w:left w:val="none" w:color="FFFFFF" w:sz="0"/>
            <w:bottom w:val="single" w:color="1A56A0" w:sz="6"/>
            <w:right w:val="none" w:color="FFFFFF" w:sz="0"/>
          </w:tcBorders>
          <w:tcMar>
            <w:top w:type="dxa" w:w="60"/>
            <w:left w:type="dxa" w:w="0"/>
            <w:bottom w:type="dxa" w:w="60"/>
            <w:right w:type="dxa" w:w="0"/>
          </w:tcMar>
        </w:tcPr>
        <w:p>
          <w:r>
            <w:rPr>
              <w:rFonts w:ascii="Arial" w:cs="Arial" w:eastAsia="Arial" w:hAnsi="Arial"/>
              <w:color w:val="AEB6BF"/>
              <w:sz w:val="18"/>
              <w:szCs w:val="18"/>
            </w:rPr>
            <w:t xml:space="preserve">Shaarli Image Hub  —  Rapport d'amélioration</w:t>
          </w:r>
        </w:p>
      </w:tc>
      <w:tc>
        <w:tcPr>
          <w:tcW w:type="dxa" w:w="3026"/>
          <w:tcBorders>
            <w:top w:val="none" w:color="FFFFFF" w:sz="0"/>
            <w:left w:val="none" w:color="FFFFFF" w:sz="0"/>
            <w:bottom w:val="single" w:color="1A56A0" w:sz="6"/>
            <w:right w:val="none" w:color="FFFFFF" w:sz="0"/>
          </w:tcBorders>
          <w:tcMar>
            <w:top w:type="dxa" w:w="60"/>
            <w:left w:type="dxa" w:w="0"/>
            <w:bottom w:type="dxa" w:w="60"/>
            <w:right w:type="dxa" w:w="0"/>
          </w:tcMar>
        </w:tcPr>
        <w:p>
          <w:pPr>
            <w:jc w:val="right"/>
          </w:pPr>
          <w:r>
            <w:rPr>
              <w:rFonts w:ascii="Arial" w:cs="Arial" w:eastAsia="Arial" w:hAnsi="Arial"/>
              <w:color w:val="AEB6BF"/>
              <w:sz w:val="18"/>
              <w:szCs w:val="18"/>
            </w:rPr>
            <w:t xml:space="preserve">Février 2026</w:t>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60" w:hanging="28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2C3E50"/>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400" w:after="120"/>
      <w:outlineLvl w:val="0"/>
    </w:pPr>
    <w:rPr>
      <w:rFonts w:ascii="Arial" w:cs="Arial" w:eastAsia="Arial" w:hAnsi="Arial"/>
      <w:b/>
      <w:bCs/>
      <w:color w:val="1A56A0"/>
      <w:sz w:val="36"/>
      <w:szCs w:val="36"/>
    </w:rPr>
  </w:style>
  <w:style w:type="paragraph" w:styleId="Heading2">
    <w:name w:val="Heading 2"/>
    <w:basedOn w:val="Normal"/>
    <w:next w:val="Normal"/>
    <w:qFormat/>
    <w:pPr>
      <w:spacing w:before="320" w:after="100"/>
      <w:outlineLvl w:val="1"/>
    </w:pPr>
    <w:rPr>
      <w:rFonts w:ascii="Arial" w:cs="Arial" w:eastAsia="Arial" w:hAnsi="Arial"/>
      <w:b/>
      <w:bCs/>
      <w:color w:val="1A56A0"/>
      <w:sz w:val="28"/>
      <w:szCs w:val="28"/>
    </w:rPr>
  </w:style>
  <w:style w:type="paragraph" w:styleId="Heading3">
    <w:name w:val="Heading 3"/>
    <w:basedOn w:val="Normal"/>
    <w:next w:val="Normal"/>
    <w:qFormat/>
    <w:pPr>
      <w:spacing w:before="240" w:after="80"/>
      <w:outlineLvl w:val="2"/>
    </w:pPr>
    <w:rPr>
      <w:rFonts w:ascii="Arial" w:cs="Arial" w:eastAsia="Arial" w:hAnsi="Arial"/>
      <w:b/>
      <w:bCs/>
      <w:color w:val="2E86C1"/>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2026-02-24T02:04:59.693Z</dcterms:created>
  <dcterms:modified xsi:type="dcterms:W3CDTF">2026-02-24T02:04:59.694Z</dcterms:modified>
</cp:coreProperties>
</file>

<file path=docProps/custom.xml><?xml version="1.0" encoding="utf-8"?>
<Properties xmlns="http://schemas.openxmlformats.org/officeDocument/2006/custom-properties" xmlns:vt="http://schemas.openxmlformats.org/officeDocument/2006/docPropsVTypes"/>
</file>